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B4A0" w14:textId="77777777" w:rsidR="0056703D" w:rsidRPr="00F62F31" w:rsidRDefault="0056703D" w:rsidP="0056703D">
      <w:pPr>
        <w:pStyle w:val="Kop3"/>
      </w:pPr>
      <w:bookmarkStart w:id="12" w:name="_Ref_9a3343cd3eeb368a3c5793996f9a72b3_1"/>
      <w:r w:rsidRPr="00F62F31">
        <w:t>Kenschets rechtsfiguur</w:t>
      </w:r>
      <w:bookmarkEnd w:id="12"/>
    </w:p>
    <w:p w14:paraId="7B0635DD" w14:textId="77777777" w:rsidR="0056703D" w:rsidRPr="00F62F31" w:rsidRDefault="0056703D" w:rsidP="0056703D">
      <w:r w:rsidRPr="00F62F31">
        <w:t xml:space="preserve">Rijk, provincies, waterschappen en gemeenten stellen elk (integraal) beleid en regels vast </w:t>
      </w:r>
      <w:r>
        <w:t xml:space="preserve">en nemen vervolgens andere (uitvoerings)besluiten </w:t>
      </w:r>
      <w:r w:rsidRPr="00F62F31">
        <w:t>over de ontwikkeling, het gebruik, de bescherming en het beheer en onderhoud van de fysieke leefomgeving voor hun grondgebied. Zij leggen dit vast in één of meerdere</w:t>
      </w:r>
      <w:r>
        <w:t xml:space="preserve"> omgevingsdocumenten</w:t>
      </w:r>
      <w:r w:rsidRPr="00F62F31">
        <w:t>.</w:t>
      </w:r>
    </w:p>
    <w:p w14:paraId="384D5406" w14:textId="1CA78424" w:rsidR="0056703D" w:rsidRDefault="0056703D" w:rsidP="0056703D">
      <w:r w:rsidRPr="00F62F31">
        <w:t xml:space="preserve">Elk van deze </w:t>
      </w:r>
      <w:r w:rsidR="00CE33F7" w:rsidRPr="00CE33F7">
        <w:t>bestuurslagen</w:t>
      </w:r>
      <w:r w:rsidR="00CE33F7" w:rsidRPr="00CE33F7" w:rsidDel="00CE33F7">
        <w:t xml:space="preserve"> </w:t>
      </w:r>
      <w:r w:rsidRPr="00F62F31">
        <w:t>heeft in het stelsel voor het omgevingsrecht zijn eigen bevoegdheden en verantwoordelijkheden en daarmee samenhangende instrumenten, waaronder de</w:t>
      </w:r>
      <w:r>
        <w:t xml:space="preserve"> omgevingsdocumenten</w:t>
      </w:r>
      <w:r w:rsidRPr="00F62F31">
        <w:t>.</w:t>
      </w:r>
    </w:p>
    <w:p w14:paraId="099D4406" w14:textId="77777777" w:rsidR="0056703D" w:rsidRPr="00F62F31" w:rsidRDefault="0056703D" w:rsidP="0056703D"/>
    <w:p w14:paraId="7147457C" w14:textId="77777777" w:rsidR="0056703D" w:rsidRDefault="0056703D" w:rsidP="0056703D">
      <w:r>
        <w:t>Het Rijk, de provincie en de gemeenten leggen de hoofdzaken van het te voeren integrale beleid voor de fysieke leefomgeving en de hoofdlijnen van de voorgenomen ontwikkeling, het gebruik, de bescherming, het beheer en het behoud van hun gehele grondgebied vast in één omgevingsvisie. De bestuursorganen kunnen ook gezamenlijk een omgevingsvisie opstellen, die zij vaststellen voor het deel dat over het eigen grondgebied gaat.</w:t>
      </w:r>
    </w:p>
    <w:p w14:paraId="5641A5CC" w14:textId="77777777" w:rsidR="0056703D" w:rsidRDefault="0056703D" w:rsidP="0056703D">
      <w:r>
        <w:t>Integraal betekent dat de visie betrekking heeft op alle terreinen van de fysieke leefomgeving. Het gaat hier om een samenhangende visie op strategisch niveau, niet om een optelsom van beleidsvisies voor de diverse domeinen. Dat is ook de reden dat ieder bestuursorgaan slechts één omgevingsvisie vaststelt: één kenbaar en integraal beleidsdocument met het gehele strategische omgevingsbeleid voor het hele grondgebied.</w:t>
      </w:r>
    </w:p>
    <w:p w14:paraId="2F8277C6" w14:textId="77777777" w:rsidR="0056703D" w:rsidRDefault="0056703D" w:rsidP="0056703D"/>
    <w:p w14:paraId="3B39B9A7" w14:textId="77777777" w:rsidR="0056703D" w:rsidRDefault="0056703D" w:rsidP="0056703D">
      <w:r>
        <w:t>De omgevingsvisie is als instrument onderdeel van de start van de beleidscyclus, die van beleidsontwikkeling. Een omgevingsvisie biedt een samenhangende beleidsmatige basis voor inzet van juridische, financiële of andere instrumenten om de beleidsdoelen in de visie na te streven en bevat geen regels voor burgers, bedrijven of andere overheden.</w:t>
      </w:r>
    </w:p>
    <w:p w14:paraId="30940387" w14:textId="77777777" w:rsidR="0056703D" w:rsidRDefault="0056703D" w:rsidP="0056703D">
      <w:r>
        <w:t>In de termen van de STOP-standaard wordt een omgevingsvisie echter wel geduid als een Regeling. In dit document wordt deze term ook gehanteerd, ook al heeft de omgevingsvisie zelf geen juridische regels.</w:t>
      </w:r>
    </w:p>
    <w:p w14:paraId="39580CF0" w14:textId="77777777" w:rsidR="0056703D" w:rsidRDefault="0056703D" w:rsidP="0056703D"/>
    <w:p w14:paraId="01F52430" w14:textId="77777777" w:rsidR="0056703D" w:rsidRPr="00F62F31" w:rsidRDefault="0056703D" w:rsidP="0056703D">
      <w:r>
        <w:t xml:space="preserve">De omgevingsvisie is een politiek-bestuurlijk document en bindt uitsluitend het vaststellende bestuursorgaan. Het kent dus geen hiërarchie en geen doorwerking in juridische zin, ook niet tussen bestuurslagen. De verantwoordelijkheden en de omgevingsvisies van een ‘hoger’ of aangrenzend bestuursorgaan maken uiteraard wel onderdeel uit van de context waarbinnen het desbetreffende bestuursorgaan zijn eigen visie vaststelt. Voor een omgevingsvisie van </w:t>
      </w:r>
      <w:r>
        <w:lastRenderedPageBreak/>
        <w:t>bijvoorbeeld een gemeente zullen beleidsontwikkelingen en -documenten van buurgemeenten, provincie en het Rijk wel van betekenis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