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1C6F0F" w:rsidP="00237CE9">
      <w:pPr>
        <w:pStyle w:val="Kop5"/>
      </w:pPr>
      <w:r w:rsidRPr="00C33ADB">
        <w:t>Onderscheid tussen sectorale en niet-sectorale Gebiedsaanwijzingtypen</w:t>
      </w:r>
    </w:p>
    <w:p w14:paraId="392F4BC1" w14:textId="77777777" w:rsidR="00205F40" w:rsidRDefault="001C6F0F"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E95ADA" w:rsidRDefault="001C6F0F"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 xml:space="preserve">regels in een viewer op een kaartbeeld weer te geven. Anderzijds sluit het aan bij de door de VNG ontwikkelde staalkaarten voor het omgevingsplan en stelt het </w:t>
      </w:r>
      <w:r w:rsidRPr="00F1426F">
        <w:lastRenderedPageBreak/>
        <w:t>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