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98711" w14:textId="05F442AE" w:rsidR="002F0D2A" w:rsidRPr="00B26823" w:rsidRDefault="001C6F0F" w:rsidP="002F0D2A">
      <w:pPr>
        <w:pStyle w:val="Kop3"/>
      </w:pPr>
      <w:r w:rsidRPr="000E40D3">
        <w:t xml:space="preserve">Standaardindeling </w:t>
      </w:r>
      <w:r w:rsidRPr="007B60F8">
        <w:fldChar w:fldCharType="begin"/>
      </w:r>
      <w:r w:rsidRPr="000A4B5B">
        <w:instrText>DOCVARIABLE ID01</w:instrText>
      </w:r>
      <w:r w:rsidRPr="007B60F8">
        <w:fldChar w:fldCharType="separate"/>
      </w:r>
      <w:r w:rsidR="005739AB">
        <w:t>omgevingsvisie</w:t>
      </w:r>
      <w:r w:rsidRPr="007B60F8">
        <w:fldChar w:fldCharType="end"/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