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AD4A" w14:textId="77777777" w:rsidR="00F34521" w:rsidRDefault="00F34521" w:rsidP="00F34521">
      <w:pPr>
        <w:pStyle w:val="Kop4"/>
      </w:pPr>
      <w:r>
        <w:t>Ontwerpbesluit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