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466BBCF4" w:rsidR="00E33EDD" w:rsidRPr="002D2D4E" w:rsidRDefault="00E33EDD" w:rsidP="00E33EDD">
      <w:pPr>
        <w:pStyle w:val="Kop3"/>
      </w:pPr>
      <w:bookmarkStart w:id="10" w:name="_Ref_90644593ab10ce5de9a7ed6a194ba67b_1"/>
      <w:r w:rsidRPr="002D2D4E">
        <w:t>Kenschets rechtsfiguur</w:t>
      </w:r>
      <w:bookmarkEnd w:id="10"/>
    </w:p>
    <w:p w14:paraId="6BE0CAFA" w14:textId="77777777" w:rsidR="00BA55B1" w:rsidRDefault="00BA55B1" w:rsidP="00BA55B1">
      <w:r>
        <w:t>Rijk, provincies, waterschappen en gemeenten stellen elk (integraal) beleid en regels vast en nemen vervolgens andere besluiten over de ontwikkeling, het gebruik, de bescherming en het beheer en onderhoud van de fysieke leefomgeving voor hun grondgebied. Zij leggen dit vast in één of meerdere omgevingsdocumenten.</w:t>
      </w:r>
    </w:p>
    <w:p w14:paraId="29D7BF53" w14:textId="09136AD3" w:rsidR="00BA55B1" w:rsidRDefault="00BA55B1" w:rsidP="00BA55B1">
      <w:r>
        <w:t>Elk van deze bestuurs</w:t>
      </w:r>
      <w:r w:rsidR="005C326A">
        <w:t>lagen</w:t>
      </w:r>
      <w:r>
        <w:t xml:space="preserve"> heeft in het stelsel voor het omgevingsrecht zijn eigen bevoegdheden en verantwoordelijkheden en daarmee samenhangende instrumenten, waaronder de omgevingsdocumenten.</w:t>
      </w:r>
    </w:p>
    <w:p w14:paraId="54D39936" w14:textId="77777777" w:rsidR="00BA55B1" w:rsidRDefault="00BA55B1" w:rsidP="00BA55B1"/>
    <w:p w14:paraId="665F169F" w14:textId="76A4675F" w:rsidR="008E2F05" w:rsidRPr="002D2D4E" w:rsidRDefault="0096263C" w:rsidP="00197211">
      <w:r>
        <w:t>W</w:t>
      </w:r>
      <w:r w:rsidR="00197211">
        <w:t>aterschap</w:t>
      </w:r>
      <w:r>
        <w:t>pen</w:t>
      </w:r>
      <w:r w:rsidR="00BA55B1">
        <w:t>, provincie</w:t>
      </w:r>
      <w:r>
        <w:t>s</w:t>
      </w:r>
      <w:r w:rsidR="00BA55B1">
        <w:t xml:space="preserve"> en Rijk </w:t>
      </w:r>
      <w:r w:rsidR="0083778E">
        <w:t>kunnen</w:t>
      </w:r>
      <w:r w:rsidR="00D76EE0">
        <w:t xml:space="preserve"> </w:t>
      </w:r>
      <w:r w:rsidR="008E2F05" w:rsidRPr="002D2D4E">
        <w:t xml:space="preserve">besluiten tot het uitvoeren van een (vaak) </w:t>
      </w:r>
      <w:r w:rsidR="00FD36F2" w:rsidRPr="002D2D4E">
        <w:t>complex</w:t>
      </w:r>
      <w:r w:rsidR="008E2F05" w:rsidRPr="002D2D4E">
        <w:t xml:space="preserve"> project in de fysieke leefomgeving door middel van het projectbesluit. Het projectbesluit heeft alleen betrekking op projecten waar een nationaal, provinciaal of waterstaatsbelang mee gemoeid is of </w:t>
      </w:r>
      <w:r w:rsidR="003A1559">
        <w:t>waar</w:t>
      </w:r>
      <w:r w:rsidR="003A1559" w:rsidRPr="002D2D4E">
        <w:t xml:space="preserve"> </w:t>
      </w:r>
      <w:r w:rsidR="008E2F05" w:rsidRPr="002D2D4E">
        <w:t>een privaat belang samenvalt met een publiek belang, zoals de aanleg van een windpark.</w:t>
      </w:r>
    </w:p>
    <w:p w14:paraId="6BD38D86" w14:textId="017B286A" w:rsidR="008E2F05" w:rsidRPr="002D2D4E" w:rsidRDefault="008E2F05" w:rsidP="008E2F05">
      <w:r w:rsidRPr="002D2D4E">
        <w:t>Het projectbesluit is gericht op het uitvoeren van een project en het in werking hebben of in stand houden daarvan. Voor een aantal categorieën van projecten is het vaststellen van een projectbesluit verplicht, voor andere projecten van publiek belang is het mogelijk om een projectbesluit vast te stellen.</w:t>
      </w:r>
      <w:r w:rsidR="00EE5D37">
        <w:t xml:space="preserve"> In beide gevallen wordt </w:t>
      </w:r>
      <w:r w:rsidR="00EE5D37" w:rsidRPr="00EE5D37">
        <w:t>de projectprocedure</w:t>
      </w:r>
      <w:r w:rsidR="00EE5D37">
        <w:t xml:space="preserve"> toegepast.</w:t>
      </w:r>
    </w:p>
    <w:p w14:paraId="2DE93036" w14:textId="77777777" w:rsidR="008E2F05" w:rsidRPr="002D2D4E" w:rsidRDefault="008E2F05" w:rsidP="008E2F05"/>
    <w:p w14:paraId="02205DA6" w14:textId="035F6A3F" w:rsidR="008E2F05" w:rsidRPr="002D2D4E" w:rsidRDefault="008E2F05" w:rsidP="008E2F05">
      <w:r w:rsidRPr="002D2D4E">
        <w:t xml:space="preserve">Het projectbesluit heeft een bijzonder karakter. Het bevat de maatregelen en kan alle </w:t>
      </w:r>
      <w:r w:rsidR="00FD36F2" w:rsidRPr="002D2D4E">
        <w:t>toestemmingen</w:t>
      </w:r>
      <w:r w:rsidRPr="002D2D4E">
        <w:t xml:space="preserve"> bevatten die nodig zijn voor de uitvoering van het project. Het projectbesluit geldt als omgevingsvergunning voor de expliciet in het projectbesluit genoemde activiteiten en als toestemming voor andere </w:t>
      </w:r>
      <w:r w:rsidR="00221C39">
        <w:t xml:space="preserve">onderdelen van </w:t>
      </w:r>
      <w:r w:rsidRPr="002D2D4E">
        <w:t xml:space="preserve">het projectbesluit. </w:t>
      </w:r>
      <w:r w:rsidR="00412F32">
        <w:t xml:space="preserve">Tot slot </w:t>
      </w:r>
      <w:r w:rsidR="00C84653">
        <w:t xml:space="preserve">wijzigt </w:t>
      </w:r>
      <w:r w:rsidR="00412F32">
        <w:t xml:space="preserve">het projectbesluit </w:t>
      </w:r>
      <w:r w:rsidR="006420F3">
        <w:t xml:space="preserve">een of meer </w:t>
      </w:r>
      <w:r w:rsidR="00412F32">
        <w:t>omgevingsplan</w:t>
      </w:r>
      <w:r w:rsidR="006420F3">
        <w:t>nen</w:t>
      </w:r>
      <w:r w:rsidR="00412F32">
        <w:t xml:space="preserve"> </w:t>
      </w:r>
      <w:r w:rsidR="00550D42" w:rsidRPr="00550D42">
        <w:t>met regels die nodig zijn voor het uitvoeren en in werking hebben of in stand houden van het project.</w:t>
      </w:r>
      <w:r w:rsidR="00550D42">
        <w:t xml:space="preserve"> </w:t>
      </w:r>
      <w:r w:rsidR="00D3080E" w:rsidRPr="00D3080E">
        <w:t xml:space="preserve">Gedurende de overgangsfase hoeft dat niet en geldt het projectbesluit, voor zover het in strijd is met het omgevingsplan, als omgevingsvergunning voor een buitenplanse omgevingsplanactiviteit. </w:t>
      </w:r>
      <w:r w:rsidRPr="002D2D4E">
        <w:t>Met het oog op de voorbereiding van een projectbesluit kunnen provinciale staten respectievelijk de minister een voorbereidingsbesluit nemen</w:t>
      </w:r>
      <w:r w:rsidR="00A062BC">
        <w:t>, dat een of meer omgevingsplannen wijzigt met voorbeschermingsregels</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