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F80FF" w14:textId="5035AEBA" w:rsidR="00E33EDD" w:rsidRPr="002D2D4E" w:rsidRDefault="00E33EDD" w:rsidP="00E33EDD">
      <w:pPr>
        <w:pStyle w:val="Kop3"/>
      </w:pPr>
      <w:bookmarkStart w:id="13" w:name="_Ref_ff386897d4156b7d8863ba96dbc8be52_1"/>
      <w:r>
        <w:lastRenderedPageBreak/>
        <w:t xml:space="preserve">Algemene kenmerken </w:t>
      </w:r>
      <w:fldSimple w:instr=" DOCVARIABLE ID01 ">
        <w:r w:rsidR="004C5663">
          <w:t>projectbesluit</w:t>
        </w:r>
      </w:fldSimple>
      <w:bookmarkEnd w:id="13"/>
    </w:p>
    <w:p w14:paraId="1C5464DF" w14:textId="3195E58D" w:rsidR="00E33EDD" w:rsidRPr="002D2D4E" w:rsidRDefault="00E33EDD" w:rsidP="00E33EDD">
      <w:r w:rsidRPr="00A80EBC">
        <w:t xml:space="preserve">In </w:t>
      </w:r>
      <w:r w:rsidRPr="004359C5">
        <w:rPr>
          <w:rStyle w:val="Verwijzing"/>
        </w:rPr>
        <w:fldChar w:fldCharType="begin" w:fldLock="1"/>
      </w:r>
      <w:r w:rsidRPr="004359C5">
        <w:rPr>
          <w:rStyle w:val="Verwijzing"/>
        </w:rPr>
        <w:instrText xml:space="preserve"> REF _Ref_ff386897d4156b7d8863ba96dbc8be52_2 \n \h </w:instrText>
      </w:r>
      <w:r w:rsidR="002D2D4E" w:rsidRPr="004359C5">
        <w:rPr>
          <w:rStyle w:val="Verwijzing"/>
        </w:rPr>
        <w:instrText xml:space="preserve"> \* MERGEFORMAT </w:instrText>
      </w:r>
      <w:r w:rsidRPr="004359C5">
        <w:rPr>
          <w:rStyle w:val="Verwijzing"/>
        </w:rPr>
      </w:r>
      <w:r w:rsidRPr="004359C5">
        <w:rPr>
          <w:rStyle w:val="Verwijzing"/>
        </w:rPr>
        <w:fldChar w:fldCharType="separate"/>
      </w:r>
      <w:r w:rsidR="00DF3BF8" w:rsidRPr="00DF3BF8">
        <w:rPr>
          <w:rStyle w:val="Verwijzing"/>
        </w:rPr>
        <w:t>Tabel 1</w:t>
      </w:r>
      <w:r w:rsidRPr="004359C5">
        <w:rPr>
          <w:rStyle w:val="Verwijzing"/>
        </w:rPr>
        <w:fldChar w:fldCharType="end"/>
      </w:r>
      <w:r w:rsidRPr="002D2D4E">
        <w:t xml:space="preserve"> tot en met </w:t>
      </w:r>
      <w:r w:rsidRPr="004359C5">
        <w:rPr>
          <w:rStyle w:val="Verwijzing"/>
        </w:rPr>
        <w:fldChar w:fldCharType="begin" w:fldLock="1"/>
      </w:r>
      <w:r w:rsidRPr="004359C5">
        <w:rPr>
          <w:rStyle w:val="Verwijzing"/>
        </w:rPr>
        <w:instrText xml:space="preserve"> REF _Ref_ff386897d4156b7d8863ba96dbc8be52_3 \n \h </w:instrText>
      </w:r>
      <w:r w:rsidR="002D2D4E" w:rsidRPr="004359C5">
        <w:rPr>
          <w:rStyle w:val="Verwijzing"/>
        </w:rPr>
        <w:instrText xml:space="preserve"> \* MERGEFORMAT </w:instrText>
      </w:r>
      <w:r w:rsidRPr="004359C5">
        <w:rPr>
          <w:rStyle w:val="Verwijzing"/>
        </w:rPr>
      </w:r>
      <w:r w:rsidRPr="004359C5">
        <w:rPr>
          <w:rStyle w:val="Verwijzing"/>
        </w:rPr>
        <w:fldChar w:fldCharType="separate"/>
      </w:r>
      <w:r w:rsidR="00DF3BF8" w:rsidRPr="00DF3BF8">
        <w:rPr>
          <w:rStyle w:val="Verwijzing"/>
        </w:rPr>
        <w:t>Tabel 3</w:t>
      </w:r>
      <w:r w:rsidRPr="004359C5">
        <w:rPr>
          <w:rStyle w:val="Verwijzing"/>
        </w:rPr>
        <w:fldChar w:fldCharType="end"/>
      </w:r>
      <w:r w:rsidRPr="002D2D4E">
        <w:t xml:space="preserve"> zijn de algemene kenmerken van </w:t>
      </w:r>
      <w:r w:rsidRPr="00A80EBC">
        <w:fldChar w:fldCharType="begin"/>
      </w:r>
      <w:r w:rsidRPr="002D2D4E">
        <w:rPr>
          <w:noProof/>
        </w:rPr>
        <w:instrText xml:space="preserve"> DOCVARIABLE ID01+ </w:instrText>
      </w:r>
      <w:r w:rsidRPr="00A80EBC">
        <w:rPr>
          <w:noProof/>
        </w:rPr>
        <w:fldChar w:fldCharType="separate"/>
      </w:r>
      <w:r w:rsidR="004C5663">
        <w:rPr>
          <w:noProof/>
        </w:rPr>
        <w:t>het projectbesluit</w:t>
      </w:r>
      <w:r w:rsidRPr="00A80EBC">
        <w:fldChar w:fldCharType="end"/>
      </w:r>
      <w:r w:rsidRPr="002D2D4E">
        <w:t xml:space="preserve"> opgenomen. Deze kenmerken leggen de algemene eigenschappen vast, waarmee informatie over </w:t>
      </w:r>
      <w:r w:rsidRPr="00A80EBC">
        <w:fldChar w:fldCharType="begin"/>
      </w:r>
      <w:r w:rsidRPr="002D2D4E">
        <w:rPr>
          <w:noProof/>
        </w:rPr>
        <w:instrText xml:space="preserve"> DOCVARIABLE ID01+ </w:instrText>
      </w:r>
      <w:r w:rsidRPr="00A80EBC">
        <w:rPr>
          <w:noProof/>
        </w:rPr>
        <w:fldChar w:fldCharType="separate"/>
      </w:r>
      <w:r w:rsidR="004C5663">
        <w:rPr>
          <w:noProof/>
        </w:rPr>
        <w:t>het projectbesluit</w:t>
      </w:r>
      <w:r w:rsidRPr="00A80EBC">
        <w:fldChar w:fldCharType="end"/>
      </w:r>
      <w:r w:rsidRPr="002D2D4E">
        <w:t xml:space="preserve"> wordt bijgehouden. Doel van deze tabellen is het weergeven van de meest essentiële algemene kenmerken van het instrument zodat de lezer het beter kan plaatsen en vergelijken met bestaande instrumenten</w:t>
      </w:r>
      <w:r w:rsidR="00B71FBD">
        <w:t>;</w:t>
      </w:r>
      <w:r w:rsidR="002D6DC4" w:rsidRPr="002D2D4E">
        <w:t xml:space="preserve"> </w:t>
      </w:r>
      <w:r w:rsidR="00B71FBD">
        <w:t>n</w:t>
      </w:r>
      <w:r w:rsidRPr="002D2D4E">
        <w:t>iet om een volledig sluitende beschrijving te geven.</w:t>
      </w:r>
      <w:r w:rsidR="00A6676E" w:rsidRPr="002D2D4E">
        <w:t xml:space="preserve"> De in de tabellen aangehaalde artikelen zijn afkomstig uit de Omgevingswet (verder: Ow), tenzij anders vermeld.</w:t>
      </w:r>
    </w:p>
    <w:p w14:paraId="6CAE7542" w14:textId="77777777" w:rsidR="00E33EDD" w:rsidRPr="002D2D4E" w:rsidRDefault="00E33EDD" w:rsidP="00E33EDD">
      <w:pPr>
        <w:pStyle w:val="Tabeltitel"/>
      </w:pPr>
      <w:bookmarkStart w:id="14" w:name="_Ref_ff386897d4156b7d8863ba96dbc8be52_2"/>
      <w:r w:rsidRPr="002D2D4E">
        <w:t>Juridische kenmerken</w:t>
      </w:r>
      <w:bookmarkEnd w:id="14"/>
    </w:p>
    <w:tbl>
      <w:tblPr>
        <w:tblStyle w:val="Tabel"/>
        <w:tblW w:w="5000" w:type="pct"/>
        <w:tblLayout w:type="fixed"/>
        <w:tblLook w:val="0620" w:firstRow="1" w:lastRow="0" w:firstColumn="0" w:lastColumn="0" w:noHBand="1" w:noVBand="1"/>
      </w:tblPr>
      <w:tblGrid>
        <w:gridCol w:w="2973"/>
        <w:gridCol w:w="5521"/>
      </w:tblGrid>
      <w:tr w:rsidR="00E33EDD" w:rsidRPr="002D2D4E" w14:paraId="115285A5"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BD55DCC" w14:textId="77777777" w:rsidR="00E33EDD" w:rsidRPr="002D2D4E" w:rsidRDefault="00E33EDD" w:rsidP="00B51A4D">
            <w:r w:rsidRPr="002D2D4E">
              <w:t>Onderwerp</w:t>
            </w:r>
          </w:p>
        </w:tc>
        <w:tc>
          <w:tcPr>
            <w:tcW w:w="3250" w:type="pct"/>
          </w:tcPr>
          <w:p w14:paraId="437C443C" w14:textId="77777777" w:rsidR="00E33EDD" w:rsidRPr="002D2D4E" w:rsidRDefault="00E33EDD" w:rsidP="00B51A4D">
            <w:r w:rsidRPr="002D2D4E">
              <w:t>Specificatie</w:t>
            </w:r>
          </w:p>
        </w:tc>
      </w:tr>
      <w:tr w:rsidR="00E33EDD" w:rsidRPr="002D2D4E" w14:paraId="5D613D90" w14:textId="77777777" w:rsidTr="00BD091D">
        <w:tc>
          <w:tcPr>
            <w:tcW w:w="1750" w:type="pct"/>
          </w:tcPr>
          <w:p w14:paraId="25DDC83C" w14:textId="77777777" w:rsidR="00E33EDD" w:rsidRPr="002D2D4E" w:rsidRDefault="00E33EDD" w:rsidP="00B51A4D">
            <w:pPr>
              <w:rPr>
                <w:color w:val="000000" w:themeColor="text1"/>
              </w:rPr>
            </w:pPr>
            <w:r w:rsidRPr="002D2D4E">
              <w:rPr>
                <w:color w:val="000000" w:themeColor="text1"/>
              </w:rPr>
              <w:t>Grondslag rechtsfiguur</w:t>
            </w:r>
          </w:p>
        </w:tc>
        <w:tc>
          <w:tcPr>
            <w:tcW w:w="3250" w:type="pct"/>
          </w:tcPr>
          <w:p w14:paraId="48576F9A" w14:textId="20AB1526" w:rsidR="00E33EDD" w:rsidRPr="002D2D4E" w:rsidRDefault="00E33EDD" w:rsidP="00B51A4D">
            <w:pPr>
              <w:rPr>
                <w:color w:val="000000" w:themeColor="text1"/>
                <w:szCs w:val="18"/>
              </w:rPr>
            </w:pPr>
            <w:r w:rsidRPr="002D2D4E">
              <w:rPr>
                <w:color w:val="000000" w:themeColor="text1"/>
                <w:szCs w:val="18"/>
              </w:rPr>
              <w:t xml:space="preserve">Artikel </w:t>
            </w:r>
            <w:r w:rsidR="008759FA" w:rsidRPr="002D2D4E">
              <w:rPr>
                <w:color w:val="000000" w:themeColor="text1"/>
                <w:szCs w:val="18"/>
              </w:rPr>
              <w:t xml:space="preserve">5.44 </w:t>
            </w:r>
            <w:r w:rsidR="00A6676E" w:rsidRPr="002D2D4E">
              <w:rPr>
                <w:color w:val="000000" w:themeColor="text1"/>
                <w:szCs w:val="18"/>
              </w:rPr>
              <w:t>Ow</w:t>
            </w:r>
          </w:p>
        </w:tc>
      </w:tr>
      <w:tr w:rsidR="00E33EDD" w:rsidRPr="002D2D4E" w14:paraId="00F621E5" w14:textId="77777777" w:rsidTr="00BD091D">
        <w:tc>
          <w:tcPr>
            <w:tcW w:w="1750" w:type="pct"/>
          </w:tcPr>
          <w:p w14:paraId="76839640" w14:textId="77777777" w:rsidR="00E33EDD" w:rsidRPr="002D2D4E" w:rsidRDefault="00E33EDD" w:rsidP="00B51A4D">
            <w:pPr>
              <w:rPr>
                <w:color w:val="000000" w:themeColor="text1"/>
              </w:rPr>
            </w:pPr>
            <w:r w:rsidRPr="002D2D4E">
              <w:rPr>
                <w:color w:val="000000" w:themeColor="text1"/>
              </w:rPr>
              <w:t>Voorbereidingsprocedure</w:t>
            </w:r>
          </w:p>
        </w:tc>
        <w:tc>
          <w:tcPr>
            <w:tcW w:w="3250" w:type="pct"/>
          </w:tcPr>
          <w:p w14:paraId="4056CB3F" w14:textId="461F53F5" w:rsidR="009E5E93" w:rsidRDefault="003079F6" w:rsidP="00663FF4">
            <w:r w:rsidRPr="002D2D4E">
              <w:t>Verplicht</w:t>
            </w:r>
            <w:r w:rsidR="009E5E93">
              <w:t>ingen:</w:t>
            </w:r>
          </w:p>
          <w:p w14:paraId="767856B3" w14:textId="3BD42F55" w:rsidR="004C5663" w:rsidRDefault="003079F6" w:rsidP="00B53EAB">
            <w:pPr>
              <w:pStyle w:val="Opsommingtekens1"/>
            </w:pPr>
            <w:r w:rsidRPr="002D2D4E">
              <w:t>kennis</w:t>
            </w:r>
            <w:r w:rsidR="00B15935">
              <w:t xml:space="preserve"> geven </w:t>
            </w:r>
            <w:r w:rsidRPr="002D2D4E">
              <w:t xml:space="preserve">van voornemen een verkenning uit te voeren </w:t>
            </w:r>
            <w:r w:rsidR="0094345A">
              <w:t xml:space="preserve">naar opgave in de fysieke leefomgeving </w:t>
            </w:r>
            <w:r w:rsidRPr="002D2D4E">
              <w:t>en om projectbesluit vast te stellen met/zonder voorafgaande voorkeursbeslissing</w:t>
            </w:r>
            <w:r w:rsidR="005D7DD5" w:rsidRPr="005D7DD5">
              <w:t>, met een termijn waarbinnen eenieder de gelegenheid heeft oplossingen voor de opgave voor te dragen</w:t>
            </w:r>
            <w:r w:rsidR="001123B8">
              <w:t xml:space="preserve"> </w:t>
            </w:r>
            <w:r w:rsidR="00CA30AB" w:rsidRPr="00CA30AB">
              <w:t>(art. 5.47 l</w:t>
            </w:r>
            <w:r w:rsidR="005D7DD5">
              <w:t>e</w:t>
            </w:r>
            <w:r w:rsidR="00CA30AB" w:rsidRPr="00CA30AB">
              <w:t>d</w:t>
            </w:r>
            <w:r w:rsidR="005D7DD5">
              <w:t>en</w:t>
            </w:r>
            <w:r w:rsidR="00CA30AB" w:rsidRPr="00CA30AB">
              <w:t xml:space="preserve"> 1 </w:t>
            </w:r>
            <w:r w:rsidR="005D7DD5">
              <w:t xml:space="preserve">en 3 </w:t>
            </w:r>
            <w:r w:rsidR="00CA30AB" w:rsidRPr="00CA30AB">
              <w:t>Ow)</w:t>
            </w:r>
          </w:p>
          <w:p w14:paraId="03109BAE" w14:textId="01A30386" w:rsidR="002E43BD" w:rsidRDefault="002E43BD" w:rsidP="00B15935">
            <w:pPr>
              <w:pStyle w:val="Opsommingtekens1"/>
            </w:pPr>
            <w:r>
              <w:t xml:space="preserve">kennis geven van </w:t>
            </w:r>
            <w:r w:rsidR="002729A2" w:rsidRPr="002729A2">
              <w:t>wijze waarop burgers, bedrijven, maatschappelijke organisaties en bestuursorganen worden betrokken</w:t>
            </w:r>
            <w:r w:rsidR="002729A2">
              <w:t xml:space="preserve"> bij verkenning</w:t>
            </w:r>
            <w:r w:rsidR="00F02C6D">
              <w:t xml:space="preserve"> </w:t>
            </w:r>
            <w:r w:rsidR="00F02C6D" w:rsidRPr="00F02C6D">
              <w:t xml:space="preserve">(art. 5.47 lid </w:t>
            </w:r>
            <w:r w:rsidR="00F02C6D">
              <w:t xml:space="preserve">4 </w:t>
            </w:r>
            <w:r w:rsidR="00F02C6D" w:rsidRPr="00F02C6D">
              <w:t>Ow)</w:t>
            </w:r>
          </w:p>
          <w:p w14:paraId="366CA4AC" w14:textId="69E29CF4" w:rsidR="00E33EDD" w:rsidRPr="002D2D4E" w:rsidRDefault="00037D5D" w:rsidP="00D4014A">
            <w:pPr>
              <w:pStyle w:val="Opsommingtekens1"/>
            </w:pPr>
            <w:r>
              <w:t>t</w:t>
            </w:r>
            <w:r w:rsidR="003079F6" w:rsidRPr="002D2D4E">
              <w:t xml:space="preserve">oepassen afdeling 3.4 </w:t>
            </w:r>
            <w:r w:rsidR="00E126AA">
              <w:t xml:space="preserve">Algemene wet bestuursrecht (verder: </w:t>
            </w:r>
            <w:r w:rsidR="003079F6" w:rsidRPr="002D2D4E">
              <w:t>Awb</w:t>
            </w:r>
            <w:r w:rsidR="009B287D">
              <w:t>)</w:t>
            </w:r>
            <w:r w:rsidR="003079F6" w:rsidRPr="002D2D4E">
              <w:t xml:space="preserve"> </w:t>
            </w:r>
            <w:r w:rsidR="00F152F9" w:rsidRPr="002D2D4E">
              <w:t xml:space="preserve">(art 16.71 </w:t>
            </w:r>
            <w:r w:rsidR="00B44132" w:rsidRPr="002D2D4E">
              <w:t xml:space="preserve">lid 1 </w:t>
            </w:r>
            <w:r w:rsidR="00F152F9" w:rsidRPr="002D2D4E">
              <w:t>Ow)</w:t>
            </w:r>
          </w:p>
        </w:tc>
      </w:tr>
      <w:tr w:rsidR="00E33EDD" w:rsidRPr="002D2D4E" w14:paraId="3F1A5053" w14:textId="77777777" w:rsidTr="00BD091D">
        <w:tc>
          <w:tcPr>
            <w:tcW w:w="1750" w:type="pct"/>
          </w:tcPr>
          <w:p w14:paraId="7D7F05A3" w14:textId="77777777" w:rsidR="00E33EDD" w:rsidRPr="002D2D4E" w:rsidRDefault="00E33EDD" w:rsidP="00B51A4D">
            <w:r w:rsidRPr="002D2D4E">
              <w:t>Tijdstip bekendmaking/</w:t>
            </w:r>
          </w:p>
          <w:p w14:paraId="0D0827F1" w14:textId="663C33B4" w:rsidR="00E33EDD" w:rsidRPr="002D2D4E" w:rsidRDefault="00E33EDD" w:rsidP="00B51A4D">
            <w:pPr>
              <w:rPr>
                <w:color w:val="000000" w:themeColor="text1"/>
              </w:rPr>
            </w:pPr>
            <w:r w:rsidRPr="002D2D4E">
              <w:rPr>
                <w:color w:val="000000" w:themeColor="text1"/>
              </w:rPr>
              <w:t xml:space="preserve">terinzagelegging vastgesteld </w:t>
            </w:r>
            <w:r w:rsidR="00481DDC" w:rsidRPr="002D2D4E">
              <w:rPr>
                <w:color w:val="000000" w:themeColor="text1"/>
              </w:rPr>
              <w:t>projectbesluit</w:t>
            </w:r>
          </w:p>
        </w:tc>
        <w:tc>
          <w:tcPr>
            <w:tcW w:w="3250" w:type="pct"/>
          </w:tcPr>
          <w:p w14:paraId="5AC47DC8" w14:textId="749B2107" w:rsidR="00E33EDD" w:rsidRPr="002D2D4E" w:rsidRDefault="00B158E5" w:rsidP="0093317E">
            <w:r w:rsidRPr="002D2D4E">
              <w:t xml:space="preserve">Het bevoegd gezag bepaalt </w:t>
            </w:r>
            <w:r w:rsidR="00D17325">
              <w:t xml:space="preserve">zelf </w:t>
            </w:r>
            <w:r w:rsidRPr="002D2D4E">
              <w:t>het tijdstip waarop het</w:t>
            </w:r>
            <w:r w:rsidR="0099646A" w:rsidRPr="002D2D4E">
              <w:t xml:space="preserve"> </w:t>
            </w:r>
            <w:r w:rsidRPr="002D2D4E">
              <w:t>projectbesluit wordt bekend gemaakt en ter inzage gelegd</w:t>
            </w:r>
          </w:p>
        </w:tc>
      </w:tr>
      <w:tr w:rsidR="00137F5C" w:rsidRPr="002D2D4E" w14:paraId="763CE7F3" w14:textId="77777777" w:rsidTr="00BD091D">
        <w:tc>
          <w:tcPr>
            <w:tcW w:w="1750" w:type="pct"/>
          </w:tcPr>
          <w:p w14:paraId="458A3878" w14:textId="0DDA62F3" w:rsidR="00137F5C" w:rsidRPr="002D2D4E" w:rsidRDefault="00137F5C" w:rsidP="00137F5C">
            <w:r w:rsidRPr="002D2D4E">
              <w:t>Wijze van bekendmaking</w:t>
            </w:r>
          </w:p>
        </w:tc>
        <w:tc>
          <w:tcPr>
            <w:tcW w:w="3250" w:type="pct"/>
          </w:tcPr>
          <w:p w14:paraId="62A5305A" w14:textId="0E12AE17" w:rsidR="00137F5C" w:rsidRPr="002D2D4E" w:rsidRDefault="00137F5C" w:rsidP="00137F5C">
            <w:pPr>
              <w:rPr>
                <w:szCs w:val="18"/>
              </w:rPr>
            </w:pPr>
            <w:r w:rsidRPr="002D2D4E">
              <w:t>Bekendmaking door plaatsing van het volledige besluit in het elektronisch publicatieblad van het bestuursorgaan dat het besluit heeft genomen</w:t>
            </w:r>
          </w:p>
        </w:tc>
      </w:tr>
      <w:tr w:rsidR="00E33EDD" w:rsidRPr="002D2D4E" w14:paraId="7CBBBAD4" w14:textId="77777777" w:rsidTr="00BD091D">
        <w:tc>
          <w:tcPr>
            <w:tcW w:w="1750" w:type="pct"/>
          </w:tcPr>
          <w:p w14:paraId="6F8864DA" w14:textId="5E572647" w:rsidR="00E33EDD" w:rsidRPr="002D2D4E" w:rsidRDefault="00137F5C" w:rsidP="00B51A4D">
            <w:r w:rsidRPr="002D2D4E">
              <w:t>Tijdstip i</w:t>
            </w:r>
            <w:r w:rsidR="00E33EDD" w:rsidRPr="002D2D4E">
              <w:t>nwerkingtreding</w:t>
            </w:r>
          </w:p>
        </w:tc>
        <w:tc>
          <w:tcPr>
            <w:tcW w:w="3250" w:type="pct"/>
          </w:tcPr>
          <w:p w14:paraId="32737E26" w14:textId="65B4B1FF" w:rsidR="00DE2019" w:rsidRPr="00DE2019" w:rsidRDefault="00355E40" w:rsidP="00DE2019">
            <w:pPr>
              <w:pStyle w:val="Opsommingtekens1"/>
              <w:rPr>
                <w:szCs w:val="18"/>
              </w:rPr>
            </w:pPr>
            <w:r w:rsidRPr="002D2D4E">
              <w:t xml:space="preserve">Projectbesluit </w:t>
            </w:r>
            <w:r w:rsidR="00092DC3">
              <w:t>van</w:t>
            </w:r>
            <w:r w:rsidRPr="002D2D4E">
              <w:t xml:space="preserve"> GS of minister </w:t>
            </w:r>
            <w:r w:rsidR="00D836BC" w:rsidRPr="00D836BC">
              <w:t>treedt in werking 4 weken na dag van bekendmaking van het besluit</w:t>
            </w:r>
            <w:r w:rsidRPr="002D2D4E">
              <w:t>, bij spoedeisende omstandigheden kan GS/</w:t>
            </w:r>
            <w:r w:rsidR="00CC1897">
              <w:t>m</w:t>
            </w:r>
            <w:r w:rsidRPr="002D2D4E">
              <w:t>inister een eerdere datum bepalen (art. 16.78</w:t>
            </w:r>
            <w:r w:rsidR="00E95FD0" w:rsidRPr="002D2D4E">
              <w:t xml:space="preserve"> </w:t>
            </w:r>
            <w:r w:rsidR="00204641">
              <w:t xml:space="preserve">lid 3 </w:t>
            </w:r>
            <w:r w:rsidRPr="002D2D4E">
              <w:t>Ow)</w:t>
            </w:r>
          </w:p>
          <w:p w14:paraId="22B7B587" w14:textId="64140D3D" w:rsidR="00E33EDD" w:rsidRPr="002D2D4E" w:rsidRDefault="00355E40" w:rsidP="00DE2019">
            <w:pPr>
              <w:pStyle w:val="Opsommingtekens1"/>
              <w:rPr>
                <w:szCs w:val="18"/>
              </w:rPr>
            </w:pPr>
            <w:r w:rsidRPr="002D2D4E">
              <w:rPr>
                <w:szCs w:val="18"/>
              </w:rPr>
              <w:t xml:space="preserve">Projectbesluit </w:t>
            </w:r>
            <w:r w:rsidR="00092DC3">
              <w:rPr>
                <w:szCs w:val="18"/>
              </w:rPr>
              <w:t>van</w:t>
            </w:r>
            <w:r w:rsidR="00DE2019">
              <w:rPr>
                <w:szCs w:val="18"/>
              </w:rPr>
              <w:t xml:space="preserve"> </w:t>
            </w:r>
            <w:r w:rsidRPr="002D2D4E">
              <w:rPr>
                <w:szCs w:val="18"/>
              </w:rPr>
              <w:t>waterschap treedt in werking 4 weken na de dag waarop het besluit door GS over goedkeuring is bekendgemaakt</w:t>
            </w:r>
            <w:r w:rsidR="00F434B9">
              <w:rPr>
                <w:szCs w:val="18"/>
              </w:rPr>
              <w:t xml:space="preserve"> (</w:t>
            </w:r>
            <w:r w:rsidR="0072552D" w:rsidRPr="0072552D">
              <w:rPr>
                <w:szCs w:val="18"/>
              </w:rPr>
              <w:t xml:space="preserve">art. 16.78 lid </w:t>
            </w:r>
            <w:r w:rsidR="0072552D">
              <w:rPr>
                <w:szCs w:val="18"/>
              </w:rPr>
              <w:t>4</w:t>
            </w:r>
            <w:r w:rsidR="0072552D" w:rsidRPr="0072552D">
              <w:rPr>
                <w:szCs w:val="18"/>
              </w:rPr>
              <w:t xml:space="preserve"> Ow)</w:t>
            </w:r>
          </w:p>
        </w:tc>
      </w:tr>
      <w:tr w:rsidR="00E33EDD" w:rsidRPr="002D2D4E" w14:paraId="3F9CBFB0" w14:textId="77777777" w:rsidTr="00BD091D">
        <w:tc>
          <w:tcPr>
            <w:tcW w:w="1750" w:type="pct"/>
          </w:tcPr>
          <w:p w14:paraId="48FB5F76" w14:textId="77777777" w:rsidR="00E33EDD" w:rsidRPr="002D2D4E" w:rsidRDefault="00E33EDD" w:rsidP="00B51A4D">
            <w:r w:rsidRPr="002D2D4E">
              <w:lastRenderedPageBreak/>
              <w:t>Rechtsbescherming</w:t>
            </w:r>
          </w:p>
        </w:tc>
        <w:tc>
          <w:tcPr>
            <w:tcW w:w="3250" w:type="pct"/>
          </w:tcPr>
          <w:p w14:paraId="6E8A02DD" w14:textId="51964C45" w:rsidR="00414921" w:rsidRPr="002D2D4E" w:rsidRDefault="00D97801" w:rsidP="00ED35E8">
            <w:pPr>
              <w:rPr>
                <w:szCs w:val="18"/>
              </w:rPr>
            </w:pPr>
            <w:r>
              <w:rPr>
                <w:szCs w:val="18"/>
              </w:rPr>
              <w:t xml:space="preserve">Tegen (het vaststellen van) het projectbesluit </w:t>
            </w:r>
            <w:r w:rsidR="004B118B" w:rsidRPr="004B118B">
              <w:rPr>
                <w:szCs w:val="18"/>
              </w:rPr>
              <w:t xml:space="preserve">én tegen het besluit van GS omtrent de goedkeuring van een projectbesluit van een waterschap </w:t>
            </w:r>
            <w:r>
              <w:rPr>
                <w:szCs w:val="18"/>
              </w:rPr>
              <w:t>kan</w:t>
            </w:r>
            <w:r w:rsidR="00B16A65">
              <w:rPr>
                <w:szCs w:val="18"/>
              </w:rPr>
              <w:t xml:space="preserve"> rechtstreeks</w:t>
            </w:r>
            <w:r>
              <w:rPr>
                <w:szCs w:val="18"/>
              </w:rPr>
              <w:t xml:space="preserve"> </w:t>
            </w:r>
            <w:r w:rsidR="00B16A65">
              <w:rPr>
                <w:szCs w:val="18"/>
              </w:rPr>
              <w:t>b</w:t>
            </w:r>
            <w:r w:rsidR="00545CA3" w:rsidRPr="002D2D4E">
              <w:rPr>
                <w:szCs w:val="18"/>
              </w:rPr>
              <w:t xml:space="preserve">eroep </w:t>
            </w:r>
            <w:r w:rsidR="00B16A65">
              <w:rPr>
                <w:szCs w:val="18"/>
              </w:rPr>
              <w:t xml:space="preserve">worden ingesteld </w:t>
            </w:r>
            <w:r w:rsidR="00545CA3" w:rsidRPr="002D2D4E">
              <w:rPr>
                <w:szCs w:val="18"/>
              </w:rPr>
              <w:t xml:space="preserve">bij </w:t>
            </w:r>
            <w:r w:rsidR="00414921" w:rsidRPr="002D2D4E">
              <w:rPr>
                <w:szCs w:val="18"/>
              </w:rPr>
              <w:t xml:space="preserve">de </w:t>
            </w:r>
            <w:r w:rsidR="00545CA3" w:rsidRPr="002D2D4E">
              <w:rPr>
                <w:szCs w:val="18"/>
              </w:rPr>
              <w:t xml:space="preserve">Afdeling bestuursrechtspraak </w:t>
            </w:r>
            <w:r w:rsidR="00FC7252" w:rsidRPr="002D2D4E">
              <w:rPr>
                <w:szCs w:val="18"/>
              </w:rPr>
              <w:t xml:space="preserve">van de </w:t>
            </w:r>
            <w:r w:rsidR="00545CA3" w:rsidRPr="002D2D4E">
              <w:rPr>
                <w:szCs w:val="18"/>
              </w:rPr>
              <w:t>Raad van State</w:t>
            </w:r>
            <w:r w:rsidR="00B16A65">
              <w:rPr>
                <w:rStyle w:val="Voetnootmarkering"/>
                <w:szCs w:val="18"/>
              </w:rPr>
              <w:footnoteReference w:id="3"/>
            </w:r>
            <w:r w:rsidR="00545CA3" w:rsidRPr="002D2D4E">
              <w:rPr>
                <w:szCs w:val="18"/>
              </w:rPr>
              <w:t xml:space="preserve"> </w:t>
            </w:r>
          </w:p>
        </w:tc>
      </w:tr>
      <w:tr w:rsidR="00E33EDD" w:rsidRPr="002D2D4E" w14:paraId="1EAAA06E" w14:textId="77777777" w:rsidTr="00BD091D">
        <w:tc>
          <w:tcPr>
            <w:tcW w:w="1750" w:type="pct"/>
          </w:tcPr>
          <w:p w14:paraId="7506E635" w14:textId="05637DB6" w:rsidR="00E33EDD" w:rsidRPr="002D2D4E" w:rsidRDefault="00E33EDD" w:rsidP="00E01E6A">
            <w:r w:rsidRPr="002D2D4E">
              <w:t>Geldt toepassingsprofiel ook voor ontwerpbesluit</w:t>
            </w:r>
          </w:p>
        </w:tc>
        <w:tc>
          <w:tcPr>
            <w:tcW w:w="3250" w:type="pct"/>
          </w:tcPr>
          <w:p w14:paraId="24BA6B14" w14:textId="3B05A09B" w:rsidR="00E33EDD" w:rsidRPr="002D2D4E" w:rsidRDefault="00E33EDD" w:rsidP="00B51A4D">
            <w:pPr>
              <w:rPr>
                <w:szCs w:val="18"/>
              </w:rPr>
            </w:pPr>
            <w:r w:rsidRPr="002D2D4E">
              <w:rPr>
                <w:szCs w:val="18"/>
              </w:rPr>
              <w:t>Ja</w:t>
            </w:r>
            <w:r w:rsidR="00210647">
              <w:rPr>
                <w:rStyle w:val="Voetnootmarkering"/>
                <w:szCs w:val="18"/>
              </w:rPr>
              <w:footnoteReference w:id="4"/>
            </w:r>
          </w:p>
        </w:tc>
      </w:tr>
      <w:tr w:rsidR="00E33EDD" w:rsidRPr="002D2D4E" w14:paraId="3F65EC0E" w14:textId="77777777" w:rsidTr="00BD091D">
        <w:tc>
          <w:tcPr>
            <w:tcW w:w="1750" w:type="pct"/>
          </w:tcPr>
          <w:p w14:paraId="12D95E5A" w14:textId="595230C9" w:rsidR="00E33EDD" w:rsidRPr="002D2D4E" w:rsidRDefault="00E33EDD" w:rsidP="00B51A4D">
            <w:r w:rsidRPr="002D2D4E">
              <w:t xml:space="preserve">Rechtsfiguur roept meldingsplicht of vergunningplicht in het leven </w:t>
            </w:r>
          </w:p>
        </w:tc>
        <w:tc>
          <w:tcPr>
            <w:tcW w:w="3250" w:type="pct"/>
          </w:tcPr>
          <w:p w14:paraId="380553A0" w14:textId="17E4CA97" w:rsidR="00E33EDD" w:rsidRPr="002D2D4E" w:rsidRDefault="00C646A1" w:rsidP="00B51A4D">
            <w:pPr>
              <w:rPr>
                <w:szCs w:val="18"/>
              </w:rPr>
            </w:pPr>
            <w:r w:rsidRPr="002D2D4E">
              <w:rPr>
                <w:szCs w:val="18"/>
              </w:rPr>
              <w:t>Ja, voor zover projectbesluit regels omgevingsplan wijzigt</w:t>
            </w:r>
          </w:p>
        </w:tc>
      </w:tr>
      <w:tr w:rsidR="00E33EDD" w:rsidRPr="002D2D4E" w14:paraId="1C7EC214" w14:textId="77777777" w:rsidTr="00BD091D">
        <w:tc>
          <w:tcPr>
            <w:tcW w:w="1750" w:type="pct"/>
          </w:tcPr>
          <w:p w14:paraId="441DA123" w14:textId="412672F9" w:rsidR="00E33EDD" w:rsidRPr="002D2D4E" w:rsidRDefault="00E33EDD" w:rsidP="00B51A4D">
            <w:r w:rsidRPr="002D2D4E">
              <w:t>Rechtsfiguur bevat voor eenieder bindende regels</w:t>
            </w:r>
          </w:p>
        </w:tc>
        <w:tc>
          <w:tcPr>
            <w:tcW w:w="3250" w:type="pct"/>
          </w:tcPr>
          <w:p w14:paraId="3FBBA391" w14:textId="158BC3F4" w:rsidR="00E33EDD" w:rsidRPr="002D2D4E" w:rsidRDefault="0016376E" w:rsidP="00B51A4D">
            <w:pPr>
              <w:rPr>
                <w:szCs w:val="18"/>
              </w:rPr>
            </w:pPr>
            <w:r w:rsidRPr="002D2D4E">
              <w:rPr>
                <w:szCs w:val="18"/>
              </w:rPr>
              <w:t>Ja, voor zover projectbesluit regels omgevingsplan wijzigt</w:t>
            </w:r>
          </w:p>
        </w:tc>
      </w:tr>
    </w:tbl>
    <w:p w14:paraId="45E828EC" w14:textId="77777777" w:rsidR="00E33EDD" w:rsidRPr="002D2D4E" w:rsidRDefault="00E33EDD" w:rsidP="00E33EDD">
      <w:pPr>
        <w:pStyle w:val="Tabeltitel"/>
      </w:pPr>
      <w:r w:rsidRPr="002D2D4E">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E33EDD" w:rsidRPr="002D2D4E" w14:paraId="3710911F"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676AD4A" w14:textId="77777777" w:rsidR="00E33EDD" w:rsidRPr="002D2D4E" w:rsidRDefault="00E33EDD" w:rsidP="00D00483">
            <w:r w:rsidRPr="002D2D4E">
              <w:t>Onderwerp</w:t>
            </w:r>
          </w:p>
        </w:tc>
        <w:tc>
          <w:tcPr>
            <w:tcW w:w="3250" w:type="pct"/>
          </w:tcPr>
          <w:p w14:paraId="41E2DBA1" w14:textId="77777777" w:rsidR="00E33EDD" w:rsidRPr="002D2D4E" w:rsidRDefault="00E33EDD" w:rsidP="00B51A4D">
            <w:r w:rsidRPr="002D2D4E">
              <w:t>Specificatie</w:t>
            </w:r>
          </w:p>
        </w:tc>
      </w:tr>
      <w:tr w:rsidR="00E33EDD" w:rsidRPr="002D2D4E" w14:paraId="0DA25423" w14:textId="77777777" w:rsidTr="00BD091D">
        <w:tc>
          <w:tcPr>
            <w:tcW w:w="1750" w:type="pct"/>
          </w:tcPr>
          <w:p w14:paraId="119C1FBE" w14:textId="70E8721F" w:rsidR="00E33EDD" w:rsidRPr="002D2D4E" w:rsidRDefault="00F52B7B" w:rsidP="00D00483">
            <w:r w:rsidRPr="002D2D4E">
              <w:t>Beleidsmatig verantwoordelijke overheid (bevoegde bestuurslaag)</w:t>
            </w:r>
          </w:p>
        </w:tc>
        <w:tc>
          <w:tcPr>
            <w:tcW w:w="3250" w:type="pct"/>
          </w:tcPr>
          <w:p w14:paraId="66AEEAAB" w14:textId="57D6E056" w:rsidR="008F6172" w:rsidRDefault="008F6172" w:rsidP="00F1668C">
            <w:pPr>
              <w:pStyle w:val="Opsommingtekens1"/>
            </w:pPr>
            <w:r w:rsidRPr="008F6172">
              <w:t>waterschap</w:t>
            </w:r>
          </w:p>
          <w:p w14:paraId="0C4288A8" w14:textId="77777777" w:rsidR="008F6172" w:rsidRPr="008F6172" w:rsidRDefault="008F6172" w:rsidP="008F6172">
            <w:pPr>
              <w:pStyle w:val="Opsommingtekens1"/>
            </w:pPr>
            <w:r w:rsidRPr="008F6172">
              <w:t>provincie</w:t>
            </w:r>
          </w:p>
          <w:p w14:paraId="53415D3A" w14:textId="5F8CD142" w:rsidR="00E33EDD" w:rsidRPr="002D2D4E" w:rsidRDefault="00421895" w:rsidP="008F6172">
            <w:pPr>
              <w:pStyle w:val="Opsommingtekens1"/>
              <w:rPr>
                <w:rFonts w:eastAsia="Verdana" w:cs="Verdana"/>
                <w:color w:val="000000" w:themeColor="text1"/>
              </w:rPr>
            </w:pPr>
            <w:r w:rsidRPr="002D2D4E">
              <w:t>Rijk</w:t>
            </w:r>
          </w:p>
        </w:tc>
      </w:tr>
      <w:tr w:rsidR="00E33EDD" w:rsidRPr="002D2D4E" w14:paraId="6770C2CA" w14:textId="77777777" w:rsidTr="00BD091D">
        <w:tc>
          <w:tcPr>
            <w:tcW w:w="1750" w:type="pct"/>
          </w:tcPr>
          <w:p w14:paraId="278282EE" w14:textId="77777777" w:rsidR="00E33EDD" w:rsidRPr="002D2D4E" w:rsidRDefault="00E33EDD" w:rsidP="00D00483">
            <w:r w:rsidRPr="002D2D4E">
              <w:t>Bestuursorgaan</w:t>
            </w:r>
          </w:p>
        </w:tc>
        <w:tc>
          <w:tcPr>
            <w:tcW w:w="3250" w:type="pct"/>
          </w:tcPr>
          <w:p w14:paraId="2401F48E" w14:textId="5628A0A7" w:rsidR="004C5663" w:rsidRDefault="008F6172" w:rsidP="00F1668C">
            <w:pPr>
              <w:pStyle w:val="Opsommingtekens1"/>
            </w:pPr>
            <w:r w:rsidRPr="008F6172">
              <w:t>dagelijks bestuur waterschap</w:t>
            </w:r>
          </w:p>
          <w:p w14:paraId="6CB3EE94" w14:textId="7A0FB204" w:rsidR="008F6172" w:rsidRPr="008F6172" w:rsidRDefault="008F6172" w:rsidP="008F6172">
            <w:pPr>
              <w:pStyle w:val="Opsommingtekens1"/>
            </w:pPr>
            <w:r w:rsidRPr="008F6172">
              <w:t>gedeputeerde staten</w:t>
            </w:r>
          </w:p>
          <w:p w14:paraId="11D65B14" w14:textId="01F2281E" w:rsidR="00E33EDD" w:rsidRPr="002D2D4E" w:rsidRDefault="00F1668C" w:rsidP="008F6172">
            <w:pPr>
              <w:pStyle w:val="Opsommingtekens1"/>
              <w:rPr>
                <w:rFonts w:eastAsia="Verdana" w:cs="Verdana"/>
                <w:color w:val="000000" w:themeColor="text1"/>
              </w:rPr>
            </w:pPr>
            <w:r w:rsidRPr="002D2D4E">
              <w:t>minister</w:t>
            </w:r>
          </w:p>
        </w:tc>
      </w:tr>
      <w:tr w:rsidR="00E33EDD" w:rsidRPr="002D2D4E" w14:paraId="4769A781" w14:textId="77777777" w:rsidTr="00BD091D">
        <w:tc>
          <w:tcPr>
            <w:tcW w:w="1750" w:type="pct"/>
          </w:tcPr>
          <w:p w14:paraId="66A73F3C" w14:textId="63638B3E" w:rsidR="00E33EDD" w:rsidRPr="002D2D4E" w:rsidRDefault="006A616C" w:rsidP="00D00483">
            <w:pPr>
              <w:rPr>
                <w:rFonts w:eastAsia="Verdana" w:cs="Verdana"/>
              </w:rPr>
            </w:pPr>
            <w:r w:rsidRPr="002D2D4E">
              <w:t>omgevingsdocument</w:t>
            </w:r>
            <w:r w:rsidR="007D692E" w:rsidRPr="002D2D4E">
              <w:t xml:space="preserve"> </w:t>
            </w:r>
            <w:r w:rsidR="00E33EDD" w:rsidRPr="002D2D4E">
              <w:t xml:space="preserve">kan rechtstreeks ander </w:t>
            </w:r>
            <w:r w:rsidRPr="002D2D4E">
              <w:t>omgevingsdocument</w:t>
            </w:r>
            <w:r w:rsidR="007D692E" w:rsidRPr="002D2D4E">
              <w:t xml:space="preserve"> </w:t>
            </w:r>
            <w:r w:rsidR="00E33EDD" w:rsidRPr="002D2D4E">
              <w:t>wijzigen (meervoudig bronhouderschap)</w:t>
            </w:r>
          </w:p>
        </w:tc>
        <w:tc>
          <w:tcPr>
            <w:tcW w:w="3250" w:type="pct"/>
          </w:tcPr>
          <w:p w14:paraId="1C9455B7" w14:textId="55B97BE0" w:rsidR="001605AE" w:rsidRDefault="00BB2C6E" w:rsidP="00B51A4D">
            <w:r w:rsidRPr="002D2D4E">
              <w:t xml:space="preserve">Ja, </w:t>
            </w:r>
            <w:r w:rsidR="00B732F7">
              <w:t xml:space="preserve">het projectbesluit </w:t>
            </w:r>
            <w:r w:rsidRPr="002D2D4E">
              <w:t xml:space="preserve">wijzigt </w:t>
            </w:r>
            <w:r w:rsidR="002525A8">
              <w:t xml:space="preserve">het </w:t>
            </w:r>
            <w:r w:rsidRPr="002D2D4E">
              <w:t>omgevingsplan</w:t>
            </w:r>
            <w:r w:rsidR="002525A8">
              <w:t xml:space="preserve"> </w:t>
            </w:r>
            <w:r w:rsidR="002525A8" w:rsidRPr="002525A8">
              <w:t>met regels die nodig zijn voor het uitvoeren en in werking hebben of in stand houden van het project</w:t>
            </w:r>
            <w:r w:rsidR="006A5DC4">
              <w:t xml:space="preserve"> (a</w:t>
            </w:r>
            <w:r w:rsidR="006A5DC4" w:rsidRPr="006A5DC4">
              <w:t>rt</w:t>
            </w:r>
            <w:r w:rsidR="006A5DC4">
              <w:t>.</w:t>
            </w:r>
            <w:r w:rsidR="006A5DC4" w:rsidRPr="006A5DC4">
              <w:t xml:space="preserve"> 5.52 lid 1 Ow</w:t>
            </w:r>
            <w:r w:rsidR="001F237E">
              <w:t>)</w:t>
            </w:r>
          </w:p>
          <w:p w14:paraId="3931D29D" w14:textId="5BE74C7A" w:rsidR="00E33EDD" w:rsidRPr="002D2D4E" w:rsidRDefault="00BB2C6E" w:rsidP="00B51A4D">
            <w:r w:rsidRPr="002D2D4E">
              <w:t xml:space="preserve">In de overgangsfase hoeft </w:t>
            </w:r>
            <w:r w:rsidR="00275C1B">
              <w:t xml:space="preserve">het projectbesluit </w:t>
            </w:r>
            <w:r w:rsidRPr="002D2D4E">
              <w:t xml:space="preserve">tot een bij koninklijk besluit te bepalen tijdstip </w:t>
            </w:r>
            <w:r w:rsidR="001D128F">
              <w:t xml:space="preserve">het omgevingsplan </w:t>
            </w:r>
            <w:r w:rsidRPr="002D2D4E">
              <w:t xml:space="preserve">niet te </w:t>
            </w:r>
            <w:r w:rsidR="001D128F">
              <w:t xml:space="preserve">wijzigen </w:t>
            </w:r>
            <w:r w:rsidR="00CC7B32" w:rsidRPr="00CC7B32">
              <w:t>maar geldt het</w:t>
            </w:r>
            <w:r w:rsidR="0049180D">
              <w:t xml:space="preserve"> projectbesluit</w:t>
            </w:r>
            <w:r w:rsidR="00CC7B32" w:rsidRPr="00CC7B32">
              <w:t xml:space="preserve">, voor zover het in strijd is met een omgevingsplan, als omgevingsvergunning voor een buitenplanse omgevingsplanactiviteit </w:t>
            </w:r>
            <w:r w:rsidRPr="002D2D4E">
              <w:t>(art. 22.16, lid 1 Ow)</w:t>
            </w:r>
          </w:p>
        </w:tc>
      </w:tr>
      <w:tr w:rsidR="00E33EDD" w:rsidRPr="002D2D4E" w14:paraId="23B4F12C" w14:textId="77777777" w:rsidTr="00BD091D">
        <w:tc>
          <w:tcPr>
            <w:tcW w:w="1750" w:type="pct"/>
          </w:tcPr>
          <w:p w14:paraId="3B4BCADE" w14:textId="70DCE822" w:rsidR="00E33EDD" w:rsidRPr="002D2D4E" w:rsidRDefault="00E33EDD" w:rsidP="00D00483">
            <w:pPr>
              <w:rPr>
                <w:rFonts w:eastAsia="Verdana" w:cs="Verdana"/>
              </w:rPr>
            </w:pPr>
            <w:r w:rsidRPr="002D2D4E">
              <w:t xml:space="preserve">Ander </w:t>
            </w:r>
            <w:r w:rsidR="006A616C" w:rsidRPr="002D2D4E">
              <w:t>omgevingsdocument</w:t>
            </w:r>
            <w:r w:rsidR="007D692E" w:rsidRPr="002D2D4E">
              <w:t xml:space="preserve"> </w:t>
            </w:r>
            <w:r w:rsidRPr="002D2D4E">
              <w:t xml:space="preserve">kan rechtstreeks onderhavig </w:t>
            </w:r>
            <w:r w:rsidR="006A616C" w:rsidRPr="002D2D4E">
              <w:t>omgevingsdocument</w:t>
            </w:r>
            <w:r w:rsidR="007D692E" w:rsidRPr="002D2D4E">
              <w:t xml:space="preserve"> </w:t>
            </w:r>
            <w:r w:rsidRPr="002D2D4E">
              <w:t>wijzigen (meervoudig bronhouderschap)</w:t>
            </w:r>
          </w:p>
        </w:tc>
        <w:tc>
          <w:tcPr>
            <w:tcW w:w="3250" w:type="pct"/>
          </w:tcPr>
          <w:p w14:paraId="5DF1E397" w14:textId="46F518EC" w:rsidR="00E33EDD" w:rsidRPr="002D2D4E" w:rsidRDefault="00731EA5" w:rsidP="00974682">
            <w:pPr>
              <w:pStyle w:val="Opsommingtekens1"/>
              <w:numPr>
                <w:ilvl w:val="0"/>
                <w:numId w:val="0"/>
              </w:numPr>
              <w:ind w:left="284" w:hanging="284"/>
              <w:rPr>
                <w:rFonts w:eastAsia="Verdana" w:cs="Verdana"/>
              </w:rPr>
            </w:pPr>
            <w:r w:rsidRPr="002D2D4E">
              <w:rPr>
                <w:rFonts w:eastAsia="Verdana" w:cs="Verdana"/>
              </w:rPr>
              <w:t>Nee</w:t>
            </w:r>
          </w:p>
        </w:tc>
      </w:tr>
      <w:tr w:rsidR="00E33EDD" w:rsidRPr="002D2D4E" w14:paraId="09E9329A" w14:textId="77777777" w:rsidTr="00BD091D">
        <w:tc>
          <w:tcPr>
            <w:tcW w:w="1750" w:type="pct"/>
          </w:tcPr>
          <w:p w14:paraId="3F60A1F4" w14:textId="77777777" w:rsidR="00E33EDD" w:rsidRPr="002D2D4E" w:rsidRDefault="00E33EDD" w:rsidP="00D00483">
            <w:pPr>
              <w:rPr>
                <w:color w:val="000000" w:themeColor="text1"/>
              </w:rPr>
            </w:pPr>
            <w:r w:rsidRPr="002D2D4E">
              <w:lastRenderedPageBreak/>
              <w:t>Rechtsfiguur kan gewijzigd worden door wijzigingsbesluiten</w:t>
            </w:r>
          </w:p>
        </w:tc>
        <w:tc>
          <w:tcPr>
            <w:tcW w:w="3250" w:type="pct"/>
          </w:tcPr>
          <w:p w14:paraId="7931E348" w14:textId="77777777" w:rsidR="00E33EDD" w:rsidRPr="002D2D4E" w:rsidRDefault="00E33EDD" w:rsidP="00B51A4D">
            <w:pPr>
              <w:rPr>
                <w:color w:val="000000" w:themeColor="text1"/>
              </w:rPr>
            </w:pPr>
            <w:r w:rsidRPr="002D2D4E">
              <w:t>Ja</w:t>
            </w:r>
          </w:p>
        </w:tc>
      </w:tr>
    </w:tbl>
    <w:p w14:paraId="42DC4F0A" w14:textId="77777777" w:rsidR="00E33EDD" w:rsidRPr="002D2D4E" w:rsidRDefault="00E33EDD" w:rsidP="00E33EDD">
      <w:pPr>
        <w:pStyle w:val="Tabeltitel"/>
      </w:pPr>
      <w:bookmarkStart w:id="15" w:name="_Ref_ff386897d4156b7d8863ba96dbc8be52_3"/>
      <w:r w:rsidRPr="002D2D4E">
        <w:t>Vergelijking met huidige rechtsfiguren en RO Standaarden</w:t>
      </w:r>
      <w:bookmarkEnd w:id="15"/>
    </w:p>
    <w:tbl>
      <w:tblPr>
        <w:tblStyle w:val="Tabel"/>
        <w:tblW w:w="5000" w:type="pct"/>
        <w:tblLayout w:type="fixed"/>
        <w:tblLook w:val="0620" w:firstRow="1" w:lastRow="0" w:firstColumn="0" w:lastColumn="0" w:noHBand="1" w:noVBand="1"/>
      </w:tblPr>
      <w:tblGrid>
        <w:gridCol w:w="2973"/>
        <w:gridCol w:w="5521"/>
      </w:tblGrid>
      <w:tr w:rsidR="00E33EDD" w:rsidRPr="002D2D4E" w14:paraId="5B4D7758"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18D10D86" w14:textId="77777777" w:rsidR="00E33EDD" w:rsidRPr="002D2D4E" w:rsidRDefault="00E33EDD" w:rsidP="00614CE9">
            <w:r w:rsidRPr="002D2D4E">
              <w:t>Onderwerp</w:t>
            </w:r>
          </w:p>
        </w:tc>
        <w:tc>
          <w:tcPr>
            <w:tcW w:w="3250" w:type="pct"/>
          </w:tcPr>
          <w:p w14:paraId="27008DD2" w14:textId="77777777" w:rsidR="00E33EDD" w:rsidRPr="002D2D4E" w:rsidRDefault="00E33EDD" w:rsidP="00614CE9">
            <w:r w:rsidRPr="002D2D4E">
              <w:t>Specificatie</w:t>
            </w:r>
          </w:p>
        </w:tc>
      </w:tr>
      <w:tr w:rsidR="00E33EDD" w:rsidRPr="002D2D4E" w14:paraId="7F16FE47" w14:textId="77777777" w:rsidTr="00BD091D">
        <w:tc>
          <w:tcPr>
            <w:tcW w:w="1750" w:type="pct"/>
          </w:tcPr>
          <w:p w14:paraId="45E864CD" w14:textId="77777777" w:rsidR="00E33EDD" w:rsidRPr="002D2D4E" w:rsidRDefault="00E33EDD" w:rsidP="00614CE9">
            <w:pPr>
              <w:rPr>
                <w:color w:val="000000" w:themeColor="text1"/>
              </w:rPr>
            </w:pPr>
            <w:r w:rsidRPr="002D2D4E">
              <w:t>Vergelijkbaar met/ voortzetting van huidige rechtsfiguur</w:t>
            </w:r>
          </w:p>
        </w:tc>
        <w:tc>
          <w:tcPr>
            <w:tcW w:w="3250" w:type="pct"/>
          </w:tcPr>
          <w:p w14:paraId="02CC2F85" w14:textId="77777777" w:rsidR="002C2AE2" w:rsidRPr="002D2D4E" w:rsidRDefault="002C2AE2" w:rsidP="002C2AE2">
            <w:pPr>
              <w:pStyle w:val="Opsommingtekens1"/>
            </w:pPr>
            <w:r w:rsidRPr="002D2D4E">
              <w:t>inpassingsplan (Wet ruimtelijke ordening)</w:t>
            </w:r>
          </w:p>
          <w:p w14:paraId="6E47C19A" w14:textId="77777777" w:rsidR="002C2AE2" w:rsidRPr="002D2D4E" w:rsidRDefault="002C2AE2" w:rsidP="002C2AE2">
            <w:pPr>
              <w:pStyle w:val="Opsommingtekens1"/>
            </w:pPr>
            <w:r w:rsidRPr="002D2D4E">
              <w:t>tracébesluit (Tracéwet)</w:t>
            </w:r>
          </w:p>
          <w:p w14:paraId="04DF218E" w14:textId="5194FAD3" w:rsidR="00E33EDD" w:rsidRPr="002D2D4E" w:rsidRDefault="002C2AE2" w:rsidP="002C2AE2">
            <w:pPr>
              <w:pStyle w:val="Opsommingtekens1"/>
              <w:rPr>
                <w:rFonts w:eastAsia="Verdana" w:cs="Verdana"/>
              </w:rPr>
            </w:pPr>
            <w:r w:rsidRPr="002D2D4E">
              <w:t>projectplan (Waterwet)</w:t>
            </w:r>
          </w:p>
        </w:tc>
      </w:tr>
      <w:tr w:rsidR="00E33EDD" w:rsidRPr="002D2D4E" w14:paraId="0A5D749E" w14:textId="77777777" w:rsidTr="00BD091D">
        <w:tc>
          <w:tcPr>
            <w:tcW w:w="1750" w:type="pct"/>
          </w:tcPr>
          <w:p w14:paraId="3025E4C0" w14:textId="072FBF0B" w:rsidR="00E33EDD" w:rsidRPr="002D2D4E" w:rsidRDefault="00E33EDD" w:rsidP="00D00483">
            <w:pPr>
              <w:rPr>
                <w:color w:val="000000" w:themeColor="text1"/>
              </w:rPr>
            </w:pPr>
            <w:r w:rsidRPr="002D2D4E">
              <w:rPr>
                <w:shd w:val="clear" w:color="auto" w:fill="FFFFFF"/>
              </w:rPr>
              <w:t>Voortzetting van instrument in</w:t>
            </w:r>
            <w:r w:rsidR="00D00483" w:rsidRPr="002D2D4E">
              <w:rPr>
                <w:shd w:val="clear" w:color="auto" w:fill="FFFFFF"/>
              </w:rPr>
              <w:t xml:space="preserve"> </w:t>
            </w:r>
            <w:r w:rsidRPr="002D2D4E">
              <w:rPr>
                <w:shd w:val="clear" w:color="auto" w:fill="FFFFFF"/>
              </w:rPr>
              <w:t>RO Standaarden</w:t>
            </w:r>
          </w:p>
        </w:tc>
        <w:tc>
          <w:tcPr>
            <w:tcW w:w="3250" w:type="pct"/>
          </w:tcPr>
          <w:p w14:paraId="38C57670" w14:textId="392A7253" w:rsidR="00E33EDD" w:rsidRPr="002D2D4E" w:rsidRDefault="00266A38" w:rsidP="00EA1BCB">
            <w:pPr>
              <w:pStyle w:val="Opsommingtekens1"/>
              <w:numPr>
                <w:ilvl w:val="0"/>
                <w:numId w:val="0"/>
              </w:numPr>
              <w:rPr>
                <w:color w:val="000000" w:themeColor="text1"/>
              </w:rPr>
            </w:pPr>
            <w:r w:rsidRPr="002D2D4E">
              <w:rPr>
                <w:szCs w:val="18"/>
              </w:rPr>
              <w:t xml:space="preserve">Projectbesluit heeft hybride karakter </w:t>
            </w:r>
            <w:r w:rsidR="00665072">
              <w:rPr>
                <w:szCs w:val="18"/>
              </w:rPr>
              <w:t>en is</w:t>
            </w:r>
            <w:r w:rsidRPr="002D2D4E">
              <w:rPr>
                <w:szCs w:val="18"/>
              </w:rPr>
              <w:t xml:space="preserve"> daardoor niet een voortzetting van 1 specifiek instrument van RO</w:t>
            </w:r>
            <w:r w:rsidR="00444252" w:rsidRPr="002D2D4E">
              <w:rPr>
                <w:szCs w:val="18"/>
              </w:rPr>
              <w:t>-s</w:t>
            </w:r>
            <w:r w:rsidRPr="002D2D4E">
              <w:rPr>
                <w:szCs w:val="18"/>
              </w:rPr>
              <w:t>tandaarden. Heeft gelijkenis met</w:t>
            </w:r>
            <w:r w:rsidR="00A8079F">
              <w:rPr>
                <w:szCs w:val="18"/>
              </w:rPr>
              <w:t xml:space="preserve"> </w:t>
            </w:r>
            <w:r w:rsidR="00A8079F">
              <w:t xml:space="preserve">het </w:t>
            </w:r>
            <w:r w:rsidRPr="002D2D4E">
              <w:t>inpassingplan uit Wro</w:t>
            </w:r>
          </w:p>
        </w:tc>
      </w:tr>
      <w:tr w:rsidR="00E33EDD" w:rsidRPr="002D2D4E" w14:paraId="4D4965FF" w14:textId="77777777" w:rsidTr="00BD091D">
        <w:tc>
          <w:tcPr>
            <w:tcW w:w="1750" w:type="pct"/>
          </w:tcPr>
          <w:p w14:paraId="3E4F8147" w14:textId="77777777" w:rsidR="00E33EDD" w:rsidRPr="002D2D4E" w:rsidRDefault="00E33EDD" w:rsidP="00D00483">
            <w:pPr>
              <w:rPr>
                <w:shd w:val="clear" w:color="auto" w:fill="FFFFFF"/>
              </w:rPr>
            </w:pPr>
            <w:r w:rsidRPr="002D2D4E">
              <w:rPr>
                <w:shd w:val="clear" w:color="auto" w:fill="FFFFFF"/>
              </w:rPr>
              <w:t>INSPIRE thema</w:t>
            </w:r>
          </w:p>
        </w:tc>
        <w:tc>
          <w:tcPr>
            <w:tcW w:w="3250" w:type="pct"/>
          </w:tcPr>
          <w:p w14:paraId="0B1F5D42" w14:textId="77777777" w:rsidR="00E33EDD" w:rsidRPr="002D2D4E" w:rsidRDefault="00E33EDD" w:rsidP="00D00483">
            <w:pPr>
              <w:rPr>
                <w:color w:val="000000" w:themeColor="text1"/>
                <w:szCs w:val="18"/>
              </w:rPr>
            </w:pPr>
            <w:r w:rsidRPr="002D2D4E">
              <w:rPr>
                <w:color w:val="000000" w:themeColor="text1"/>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