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4583" w14:textId="53665986" w:rsidR="00585790" w:rsidRPr="00F62F31" w:rsidRDefault="00585790" w:rsidP="00585790">
      <w:pPr>
        <w:pStyle w:val="Kop4"/>
      </w:pPr>
      <w:bookmarkStart w:id="28" w:name="_Ref_aec0ef81b6d2ce32cc42feb602aa5f55_1"/>
      <w:r w:rsidRPr="00EA6ACD">
        <w:t>Beoogde werking van meervoudig bronhouderschap</w:t>
      </w:r>
      <w:bookmarkEnd w:id="28"/>
    </w:p>
    <w:p w14:paraId="1FC490A2" w14:textId="585E94AB" w:rsidR="004C5663" w:rsidRDefault="0087479B" w:rsidP="0087479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rsidR="002D02AF">
        <w:t>, van andere bestuurslagen,</w:t>
      </w:r>
      <w:r w:rsidRPr="003F0952">
        <w:t xml:space="preserve"> die andere typen besluiten nemen die leiden tot wijziging van het omgevingsplan</w:t>
      </w:r>
      <w:r w:rsidR="00660B2F">
        <w:t>:</w:t>
      </w:r>
    </w:p>
    <w:p w14:paraId="11980BE9" w14:textId="52ED557E" w:rsidR="00E237EA" w:rsidRDefault="0087479B" w:rsidP="00660B2F">
      <w:pPr>
        <w:pStyle w:val="Opsommingtekens1"/>
      </w:pPr>
      <w:r>
        <w:t>g</w:t>
      </w:r>
      <w:r w:rsidRPr="003F0952">
        <w:t xml:space="preserve">edeputeerde </w:t>
      </w:r>
      <w:r>
        <w:t>s</w:t>
      </w:r>
      <w:r w:rsidRPr="003F0952">
        <w:t xml:space="preserve">taten </w:t>
      </w:r>
      <w:r w:rsidR="00660B2F"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46"/>
      </w:r>
      <w:r w:rsidR="00E237EA">
        <w:t>;</w:t>
      </w:r>
    </w:p>
    <w:p w14:paraId="6D1B93A8" w14:textId="77777777" w:rsidR="00E237EA" w:rsidRDefault="0087479B" w:rsidP="00660B2F">
      <w:pPr>
        <w:pStyle w:val="Opsommingtekens1"/>
      </w:pPr>
      <w:r>
        <w:t xml:space="preserve">bestuursorganen van provincie en Rijk </w:t>
      </w:r>
      <w:r w:rsidR="00E237EA">
        <w:t xml:space="preserve">kunnen </w:t>
      </w:r>
      <w:r>
        <w:t xml:space="preserve">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sidR="00484993">
        <w:rPr>
          <w:rStyle w:val="Voetnootmarkering"/>
        </w:rPr>
        <w:footnoteReference w:id="47"/>
      </w:r>
      <w:r w:rsidR="00E237EA">
        <w:t>;</w:t>
      </w:r>
    </w:p>
    <w:p w14:paraId="7D18E2FF" w14:textId="3F7A4886" w:rsidR="004C5663" w:rsidRDefault="00E237EA" w:rsidP="00660B2F">
      <w:pPr>
        <w:pStyle w:val="Opsommingtekens1"/>
      </w:pPr>
      <w:r w:rsidRPr="00E237EA">
        <w:lastRenderedPageBreak/>
        <w:t xml:space="preserve">bestuursorganen van waterschap, provincie </w:t>
      </w:r>
      <w:r>
        <w:t>en</w:t>
      </w:r>
      <w:r w:rsidRPr="00E237EA">
        <w:t xml:space="preserve"> Rijk </w:t>
      </w:r>
      <w:r w:rsidR="00846AD5">
        <w:t xml:space="preserve">kunnen met een </w:t>
      </w:r>
      <w:r w:rsidR="0087479B" w:rsidRPr="003F0952">
        <w:t>projectbesluit het omgevingsplan wijzig</w:t>
      </w:r>
      <w:r w:rsidR="00846AD5">
        <w:t>en</w:t>
      </w:r>
      <w:r w:rsidR="0087479B" w:rsidRPr="003F0952">
        <w:t xml:space="preserve"> met regels die nodig zijn voor het uitvoeren en in werking hebben of in stand houden van het project</w:t>
      </w:r>
      <w:r w:rsidR="00484993">
        <w:rPr>
          <w:rStyle w:val="Voetnootmarkering"/>
        </w:rPr>
        <w:footnoteReference w:id="48"/>
      </w:r>
      <w:r w:rsidR="0087479B" w:rsidRPr="003F0952">
        <w:t>.</w:t>
      </w:r>
    </w:p>
    <w:p w14:paraId="0516965F" w14:textId="3EC939C3" w:rsidR="0087479B" w:rsidRDefault="0087479B" w:rsidP="00846AD5">
      <w:r>
        <w:t>Artikel 16.2 Ow bepaalt dat, t</w:t>
      </w:r>
      <w:r w:rsidRPr="00033FB6">
        <w:t>er uitvoering van artikel 19 van de Bekendmakingswet</w:t>
      </w:r>
      <w:r>
        <w:t>,</w:t>
      </w:r>
      <w:r w:rsidRPr="00033FB6">
        <w:t xml:space="preserve"> op een bestuursorgaan dat met </w:t>
      </w:r>
      <w:r w:rsidR="00E46170">
        <w:t>een van de genoemde instrumenten</w:t>
      </w:r>
      <w:r>
        <w:t xml:space="preserve">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CAA6E8E" w14:textId="77777777" w:rsidR="00A90BCF" w:rsidRDefault="00A90BCF" w:rsidP="0087479B"/>
    <w:p w14:paraId="4E936F7C" w14:textId="1E8D332C" w:rsidR="0087479B" w:rsidRDefault="0087479B" w:rsidP="00FC117F">
      <w:r w:rsidRPr="003F0952">
        <w:t xml:space="preserve">De wetgever heeft reactieve interventie, voorbereidingsbesluit </w:t>
      </w:r>
      <w:r>
        <w:t xml:space="preserve">en </w:t>
      </w:r>
      <w:r w:rsidRPr="00BC1D85">
        <w:t xml:space="preserve">projectbesluit </w:t>
      </w:r>
      <w:r w:rsidRPr="003F0952">
        <w:t xml:space="preserve">zo bedoeld dat </w:t>
      </w:r>
      <w:r w:rsidR="000F6F27" w:rsidRPr="000F6F27">
        <w:t xml:space="preserve">het bestuursorgaan dat </w:t>
      </w:r>
      <w:r w:rsidR="00213367">
        <w:t>een van die instrumenten vaststel</w:t>
      </w:r>
      <w:r w:rsidR="007070FF">
        <w:t>t</w:t>
      </w:r>
      <w:r w:rsidR="00213367">
        <w:t xml:space="preserve">, </w:t>
      </w:r>
      <w:r w:rsidR="007070FF" w:rsidRPr="007070FF">
        <w:t>ook het omgevingsplan, een instrument</w:t>
      </w:r>
      <w:r w:rsidR="007070FF">
        <w:t xml:space="preserve"> van een ander type en</w:t>
      </w:r>
      <w:r w:rsidR="007070FF" w:rsidRPr="007070FF">
        <w:t xml:space="preserve"> van een ander bevoegd gezag van een andere bestuurslaag, wijzigt</w:t>
      </w:r>
      <w:r w:rsidR="00950306">
        <w:t xml:space="preserve">. </w:t>
      </w:r>
      <w:r w:rsidRPr="00B847F9">
        <w:t xml:space="preserve">Technisch uitgedrukt zijn er in </w:t>
      </w:r>
      <w:r>
        <w:t>da</w:t>
      </w:r>
      <w:r w:rsidRPr="00B847F9">
        <w:t xml:space="preserve">t geval meerdere bronhouders die eenzelfde omgevingsdocument kunnen wijzigen. Dit wordt meervoudig bronhouderschap genoemd. In grote lijnen zou de technische uitwerking van het beoogde meervoudig bronhouderschap er op neerkomen dat het bestuursorgaan dat het </w:t>
      </w:r>
      <w:r>
        <w:t xml:space="preserve">andere </w:t>
      </w:r>
      <w:r w:rsidRPr="00B847F9">
        <w:t>besluit</w:t>
      </w:r>
      <w:r>
        <w:t>type</w:t>
      </w:r>
      <w:r w:rsidRPr="00B847F9">
        <w:t xml:space="preserve"> heeft genomen, tegelijk met het ter bekendmaking aan de LVBB aanleveren van </w:t>
      </w:r>
      <w:r>
        <w:t xml:space="preserve">dat </w:t>
      </w:r>
      <w:r w:rsidRPr="00F17D8A">
        <w:t xml:space="preserve">besluit </w:t>
      </w:r>
      <w:r w:rsidRPr="00B847F9">
        <w:t xml:space="preserve">ook de wijzigingsinstructie voor het omgevingsplan moet aanleveren. De LVBB </w:t>
      </w:r>
      <w:r>
        <w:t xml:space="preserve">zou </w:t>
      </w:r>
      <w:r w:rsidRPr="00B847F9">
        <w:t>daarmee een nieuwe versie van de geconsolideerde regeling van het omgevingsplan</w:t>
      </w:r>
      <w:r>
        <w:t xml:space="preserve"> kunnen </w:t>
      </w:r>
      <w:r w:rsidRPr="008C417E">
        <w:t>genereren</w:t>
      </w:r>
      <w:r w:rsidRPr="00B847F9">
        <w:t>. De betreffende gemeente zou vervolgens de nieuwe geconsolideerde regeling bij de LVBB moeten ophalen en in het eigen plansysteem in de eigen versie van het omgevingsplan importeren en verwerken.</w:t>
      </w:r>
    </w:p>
    <w:p w14:paraId="0D227F79" w14:textId="634A03B9" w:rsidR="00585790" w:rsidRDefault="0087479B" w:rsidP="0087479B">
      <w:r>
        <w:t xml:space="preserve">Wanneer er </w:t>
      </w:r>
      <w:r w:rsidRPr="002E4A50">
        <w:t xml:space="preserve">met het oog op de voorbereiding van een projectbesluit </w:t>
      </w:r>
      <w:r>
        <w:t xml:space="preserve">een voorbereidingsbesluit wordt genomen, </w:t>
      </w:r>
      <w:r w:rsidR="00800DCB">
        <w:t xml:space="preserve">kan </w:t>
      </w:r>
      <w:r>
        <w:t>het meervoudig bronhouderschap op twee momenten</w:t>
      </w:r>
      <w:r w:rsidR="00800DCB">
        <w:t xml:space="preserve"> spelen</w:t>
      </w:r>
      <w:r>
        <w:t>: bij het nemen van het voorbereidingsbesluit én</w:t>
      </w:r>
      <w:r w:rsidR="00800DCB">
        <w:t>, als het projectbesluit een of meer omgevingsplannen wijzigt,</w:t>
      </w:r>
      <w:r>
        <w:t xml:space="preserve"> bij het vaststellen van het daarop volgende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