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465D74C9" w:rsidR="00E33EDD" w:rsidRPr="002D2D4E" w:rsidRDefault="00E33EDD" w:rsidP="008D7672">
      <w:pPr>
        <w:pStyle w:val="Kop3"/>
      </w:pPr>
      <w:bookmarkStart w:id="40" w:name="_Ref_71234830b5606f99f2a392fcef716521_1"/>
      <w:r w:rsidRPr="002D2D4E">
        <w:t>Overgangs</w:t>
      </w:r>
      <w:r w:rsidR="00900A7F" w:rsidRPr="002D2D4E">
        <w:t>recht en overgangs</w:t>
      </w:r>
      <w:r w:rsidRPr="002D2D4E">
        <w:t>fase</w:t>
      </w:r>
      <w:bookmarkEnd w:id="40"/>
    </w:p>
    <w:p w14:paraId="2CC09A12" w14:textId="5641E679" w:rsidR="009E2DD5" w:rsidRDefault="00A558F5" w:rsidP="007C7F08">
      <w:pPr>
        <w:rPr>
          <w:bCs/>
        </w:rPr>
      </w:pPr>
      <w:r>
        <w:rPr>
          <w:bCs/>
        </w:rPr>
        <w:t xml:space="preserve">Zoals in de vorige paragraaf al beschreven is, voorziet </w:t>
      </w:r>
      <w:r w:rsidR="004466CC">
        <w:rPr>
          <w:bCs/>
        </w:rPr>
        <w:t>de</w:t>
      </w:r>
      <w:r w:rsidR="00B33AAE" w:rsidRPr="00B33AAE">
        <w:rPr>
          <w:bCs/>
        </w:rPr>
        <w:t xml:space="preserve"> </w:t>
      </w:r>
      <w:r w:rsidR="007844F8">
        <w:rPr>
          <w:bCs/>
        </w:rPr>
        <w:t>O</w:t>
      </w:r>
      <w:r w:rsidR="004466CC">
        <w:rPr>
          <w:bCs/>
        </w:rPr>
        <w:t>mgevings</w:t>
      </w:r>
      <w:r w:rsidR="007844F8">
        <w:rPr>
          <w:bCs/>
        </w:rPr>
        <w:t>w</w:t>
      </w:r>
      <w:r w:rsidR="004466CC">
        <w:rPr>
          <w:bCs/>
        </w:rPr>
        <w:t>et</w:t>
      </w:r>
      <w:r w:rsidR="007844F8">
        <w:rPr>
          <w:bCs/>
        </w:rPr>
        <w:t xml:space="preserve"> in een </w:t>
      </w:r>
      <w:r w:rsidR="00B33AAE" w:rsidRPr="00B33AAE">
        <w:rPr>
          <w:bCs/>
        </w:rPr>
        <w:t xml:space="preserve">overgangsfase </w:t>
      </w:r>
      <w:r w:rsidR="007844F8">
        <w:rPr>
          <w:bCs/>
        </w:rPr>
        <w:t xml:space="preserve">voor het </w:t>
      </w:r>
      <w:r w:rsidR="00B33AAE" w:rsidRPr="00B33AAE">
        <w:rPr>
          <w:bCs/>
        </w:rPr>
        <w:t>projectbesluit</w:t>
      </w:r>
      <w:r w:rsidR="009E2DD5" w:rsidRPr="002D2D4E">
        <w:rPr>
          <w:bCs/>
        </w:rPr>
        <w:t xml:space="preserve"> waar het de relatie met het omgevingsplan betreft</w:t>
      </w:r>
      <w:r w:rsidR="004466CC">
        <w:rPr>
          <w:bCs/>
        </w:rPr>
        <w:t>.</w:t>
      </w:r>
      <w:r w:rsidR="00ED4869">
        <w:rPr>
          <w:bCs/>
        </w:rPr>
        <w:t xml:space="preserve"> </w:t>
      </w:r>
      <w:r w:rsidR="004466CC">
        <w:rPr>
          <w:bCs/>
        </w:rPr>
        <w:t xml:space="preserve">Deze overgangsfase bestaat </w:t>
      </w:r>
      <w:r w:rsidR="00ED4869" w:rsidRPr="00ED4869">
        <w:rPr>
          <w:bCs/>
        </w:rPr>
        <w:t>uit twee onderdelen</w:t>
      </w:r>
      <w:r w:rsidR="009E2DD5" w:rsidRPr="002D2D4E">
        <w:rPr>
          <w:bCs/>
        </w:rPr>
        <w:t>.</w:t>
      </w:r>
      <w:r w:rsidR="00ED4869">
        <w:rPr>
          <w:bCs/>
        </w:rPr>
        <w:t xml:space="preserve"> </w:t>
      </w:r>
      <w:r w:rsidR="00ED4869" w:rsidRPr="00ED4869">
        <w:rPr>
          <w:bCs/>
        </w:rPr>
        <w:t xml:space="preserve">Ten eerste hoeft </w:t>
      </w:r>
      <w:r w:rsidR="00335199" w:rsidRPr="00335199">
        <w:rPr>
          <w:bCs/>
        </w:rPr>
        <w:t xml:space="preserve">het projectbesluit </w:t>
      </w:r>
      <w:r w:rsidR="00ED4869" w:rsidRPr="00ED4869">
        <w:rPr>
          <w:bCs/>
        </w:rPr>
        <w:t xml:space="preserve">tot </w:t>
      </w:r>
      <w:r w:rsidR="001C5665">
        <w:rPr>
          <w:bCs/>
        </w:rPr>
        <w:t xml:space="preserve">het </w:t>
      </w:r>
      <w:r w:rsidR="00ED4869" w:rsidRPr="00ED4869">
        <w:rPr>
          <w:bCs/>
        </w:rPr>
        <w:t xml:space="preserve">bij koninklijk besluit te bepalen tijdstip </w:t>
      </w:r>
      <w:r w:rsidR="00094CFA" w:rsidRPr="00094CFA">
        <w:rPr>
          <w:bCs/>
        </w:rPr>
        <w:t>(het einde van de overgangsfase voor het omgevingsplan)</w:t>
      </w:r>
      <w:r w:rsidR="00094CFA">
        <w:rPr>
          <w:bCs/>
        </w:rPr>
        <w:t xml:space="preserve"> </w:t>
      </w:r>
      <w:r w:rsidR="00ED4869" w:rsidRPr="00ED4869">
        <w:rPr>
          <w:bCs/>
        </w:rPr>
        <w:t>niet de regels van het omgevingsplan te wijzigen.</w:t>
      </w:r>
      <w:r w:rsidR="00335199">
        <w:rPr>
          <w:bCs/>
        </w:rPr>
        <w:t xml:space="preserve"> </w:t>
      </w:r>
      <w:r w:rsidR="00335199" w:rsidRPr="00335199">
        <w:rPr>
          <w:bCs/>
        </w:rPr>
        <w:t>Voor zover een projectbesluit in deze periode in strijd is met het omgevingsplan, geldt het als een omgevingsvergunning voor een buitenplanse omgevingsplanactiviteit</w:t>
      </w:r>
      <w:r w:rsidR="00B72615">
        <w:rPr>
          <w:rStyle w:val="Voetnootmarkering"/>
          <w:bCs/>
        </w:rPr>
        <w:footnoteReference w:id="51"/>
      </w:r>
      <w:r w:rsidR="00335199" w:rsidRPr="00335199">
        <w:rPr>
          <w:bCs/>
        </w:rPr>
        <w:t>. Ten tweede hoeft, voor zover een projectbesluit geldt als omgevingsvergunning voor een omgevings-</w:t>
      </w:r>
      <w:r w:rsidR="00335199" w:rsidRPr="00335199">
        <w:rPr>
          <w:bCs/>
        </w:rPr>
        <w:lastRenderedPageBreak/>
        <w:t>planactiviteit, het omgevingsplan niet eerder dan</w:t>
      </w:r>
      <w:r w:rsidR="00094CFA">
        <w:rPr>
          <w:bCs/>
        </w:rPr>
        <w:t xml:space="preserve"> op</w:t>
      </w:r>
      <w:r w:rsidR="00335199" w:rsidRPr="00335199">
        <w:rPr>
          <w:bCs/>
        </w:rPr>
        <w:t xml:space="preserve"> </w:t>
      </w:r>
      <w:r w:rsidR="00094CFA">
        <w:rPr>
          <w:bCs/>
        </w:rPr>
        <w:t xml:space="preserve">het </w:t>
      </w:r>
      <w:r w:rsidR="00335199" w:rsidRPr="00335199">
        <w:rPr>
          <w:bCs/>
        </w:rPr>
        <w:t xml:space="preserve">bij koninklijk besluit te bepalen tijdstip met die </w:t>
      </w:r>
      <w:r w:rsidR="000B643D">
        <w:rPr>
          <w:bCs/>
        </w:rPr>
        <w:t>omgevings</w:t>
      </w:r>
      <w:r w:rsidR="00335199" w:rsidRPr="00335199">
        <w:rPr>
          <w:bCs/>
        </w:rPr>
        <w:t>vergunning in overeenstemming te zijn gebracht</w:t>
      </w:r>
      <w:r w:rsidR="008D2358">
        <w:rPr>
          <w:rStyle w:val="Voetnootmarkering"/>
          <w:bCs/>
        </w:rPr>
        <w:footnoteReference w:id="52"/>
      </w:r>
      <w:r w:rsidR="00335199" w:rsidRPr="00335199">
        <w:rPr>
          <w:bCs/>
        </w:rPr>
        <w:t>.</w:t>
      </w:r>
    </w:p>
    <w:p w14:paraId="00E57238" w14:textId="77777777" w:rsidR="0059266A" w:rsidRDefault="0059266A" w:rsidP="00D977A3">
      <w:pPr>
        <w:rPr>
          <w:bCs/>
        </w:rPr>
      </w:pPr>
    </w:p>
    <w:p w14:paraId="64BC9B72" w14:textId="32D3C2D0" w:rsidR="00D977A3" w:rsidRPr="00AC0F3F" w:rsidRDefault="003A7AC1" w:rsidP="00D977A3">
      <w:pPr>
        <w:rPr>
          <w:bCs/>
        </w:rPr>
      </w:pPr>
      <w:r>
        <w:rPr>
          <w:bCs/>
        </w:rPr>
        <w:t>Naast de overgangs</w:t>
      </w:r>
      <w:r w:rsidR="00E803B0">
        <w:rPr>
          <w:bCs/>
        </w:rPr>
        <w:t xml:space="preserve">rechtelijke regeling </w:t>
      </w:r>
      <w:r w:rsidR="00D833FB">
        <w:rPr>
          <w:bCs/>
        </w:rPr>
        <w:t xml:space="preserve">gedurende de overgangsfase </w:t>
      </w:r>
      <w:r>
        <w:rPr>
          <w:bCs/>
        </w:rPr>
        <w:t xml:space="preserve">voor </w:t>
      </w:r>
      <w:r w:rsidR="00F2736C">
        <w:rPr>
          <w:bCs/>
        </w:rPr>
        <w:t>de relatie tussen projectbesluit en omgevingsplan</w:t>
      </w:r>
      <w:r w:rsidR="00D833FB">
        <w:rPr>
          <w:bCs/>
        </w:rPr>
        <w:t>,</w:t>
      </w:r>
      <w:r w:rsidR="00F2736C">
        <w:rPr>
          <w:bCs/>
        </w:rPr>
        <w:t xml:space="preserve"> geldt er overgangsrecht </w:t>
      </w:r>
      <w:r w:rsidR="00E340FF">
        <w:rPr>
          <w:bCs/>
        </w:rPr>
        <w:t>voor de voorgangers van het projectbesluit.</w:t>
      </w:r>
      <w:r w:rsidR="0078684F">
        <w:rPr>
          <w:bCs/>
        </w:rPr>
        <w:t xml:space="preserve"> </w:t>
      </w:r>
      <w:r w:rsidR="00D977A3" w:rsidRPr="00AC0F3F">
        <w:rPr>
          <w:bCs/>
        </w:rPr>
        <w:t>In bepaalde gevallen wordt een al gestarte procedure afgemaakt onder het oude recht, terwijl het in andere gevallen mogelijk is om een onder het oude recht gestarte procedure voort te zetten onder het nieuwe recht.</w:t>
      </w:r>
    </w:p>
    <w:p w14:paraId="32A4618C" w14:textId="77777777" w:rsidR="00D977A3" w:rsidRPr="00AC0F3F" w:rsidRDefault="00D977A3" w:rsidP="00D977A3">
      <w:pPr>
        <w:pStyle w:val="Opsommingtekens1"/>
      </w:pPr>
      <w:r w:rsidRPr="00AC0F3F">
        <w:t>Het oude recht blijft van toepassing als voor de inwerkingtreding van de Omgevingswet:</w:t>
      </w:r>
    </w:p>
    <w:p w14:paraId="11037065" w14:textId="28D9448D" w:rsidR="001149C5" w:rsidRDefault="001149C5" w:rsidP="001149C5">
      <w:pPr>
        <w:pStyle w:val="Opsommingtekens2"/>
      </w:pPr>
      <w:r w:rsidRPr="00AC0F3F">
        <w:t>het ontwerp van een inpassingsplan ter inzage is gelegd</w:t>
      </w:r>
      <w:r w:rsidRPr="00AC0F3F">
        <w:rPr>
          <w:rStyle w:val="Voetnootmarkering"/>
        </w:rPr>
        <w:footnoteReference w:id="53"/>
      </w:r>
      <w:r w:rsidRPr="00AC0F3F">
        <w:t>;</w:t>
      </w:r>
    </w:p>
    <w:p w14:paraId="673EF85F" w14:textId="51C516AB" w:rsidR="00D977A3" w:rsidRPr="00AC0F3F" w:rsidRDefault="00D977A3" w:rsidP="00D977A3">
      <w:pPr>
        <w:pStyle w:val="Opsommingtekens2"/>
      </w:pPr>
      <w:r w:rsidRPr="00AC0F3F">
        <w:t>een ontwerptracébesluit ter inzage is gelegd</w:t>
      </w:r>
      <w:r w:rsidRPr="00AC0F3F">
        <w:rPr>
          <w:rStyle w:val="Voetnootmarkering"/>
        </w:rPr>
        <w:footnoteReference w:id="54"/>
      </w:r>
      <w:r w:rsidRPr="00AC0F3F">
        <w:t>;</w:t>
      </w:r>
    </w:p>
    <w:p w14:paraId="75CB3D69" w14:textId="77777777" w:rsidR="00D977A3" w:rsidRDefault="00D977A3" w:rsidP="00D977A3">
      <w:pPr>
        <w:pStyle w:val="Opsommingtekens2"/>
      </w:pPr>
      <w:r w:rsidRPr="00AC0F3F">
        <w:t>voor bepaalde projecten de verkenning als bedoeld in de Tracéwet in een vergevorderd stadium is en voor het project binnen een jaar na de inwerkingtreding van de Omgevingswet een ontwerptracébesluit ter inzage is gelegd</w:t>
      </w:r>
      <w:r w:rsidRPr="00AC0F3F">
        <w:rPr>
          <w:rStyle w:val="Voetnootmarkering"/>
        </w:rPr>
        <w:footnoteReference w:id="55"/>
      </w:r>
      <w:r w:rsidRPr="00AC0F3F">
        <w:t>;</w:t>
      </w:r>
    </w:p>
    <w:p w14:paraId="05799558" w14:textId="4927A50A" w:rsidR="00882D0E" w:rsidRPr="00AC0F3F" w:rsidRDefault="00882D0E" w:rsidP="00D977A3">
      <w:pPr>
        <w:pStyle w:val="Opsommingtekens2"/>
      </w:pPr>
      <w:r>
        <w:t>het ontwerp van een projectplan</w:t>
      </w:r>
      <w:r w:rsidR="00A71BDB" w:rsidRPr="00A71BDB">
        <w:t xml:space="preserve"> als bedoeld in artikel 5.4, eerste lid, van de Waterwet</w:t>
      </w:r>
      <w:r>
        <w:t xml:space="preserve"> </w:t>
      </w:r>
      <w:r w:rsidRPr="00882D0E">
        <w:t>ter inzage is gelegd</w:t>
      </w:r>
      <w:r w:rsidR="009701C1">
        <w:rPr>
          <w:rStyle w:val="Voetnootmarkering"/>
        </w:rPr>
        <w:footnoteReference w:id="56"/>
      </w:r>
      <w:r w:rsidR="009701C1">
        <w:t>;</w:t>
      </w:r>
    </w:p>
    <w:p w14:paraId="400387A3" w14:textId="77777777" w:rsidR="00D977A3" w:rsidRPr="00AC0F3F" w:rsidRDefault="00D977A3" w:rsidP="00D977A3">
      <w:pPr>
        <w:pStyle w:val="Opsommingtekens1"/>
      </w:pPr>
      <w:r w:rsidRPr="00AC0F3F">
        <w:t>Het nieuwe recht kan worden toegepast:</w:t>
      </w:r>
    </w:p>
    <w:p w14:paraId="62774BFC" w14:textId="77777777" w:rsidR="00D977A3" w:rsidRPr="00AC0F3F" w:rsidRDefault="00D977A3" w:rsidP="00D977A3">
      <w:pPr>
        <w:pStyle w:val="Opsommingtekens2"/>
      </w:pPr>
      <w:r w:rsidRPr="00AC0F3F">
        <w:t>Voor bepaalde projecten als bedoeld in de Electriciteitswet, de Gaswet en de Mijnbouwwet waarvoor voor de inwerkingtreding van de Omgevingswet ter voorbereiding van een inpassingsplan een voorbereidingsbesluit is bekendgemaakt, kan een projectbesluit worden bekendgemaakt, mits dat gebeurt binnen een periode van een jaar en zes maanden na de inwerkingtreding van de Omgevingswet</w:t>
      </w:r>
      <w:r w:rsidRPr="00AC0F3F">
        <w:rPr>
          <w:rStyle w:val="Voetnootmarkering"/>
          <w:bCs/>
        </w:rPr>
        <w:footnoteReference w:id="57"/>
      </w:r>
      <w:r w:rsidRPr="00AC0F3F">
        <w:t>.</w:t>
      </w:r>
    </w:p>
    <w:p w14:paraId="15AADF3C" w14:textId="38CC972B" w:rsidR="00D977A3" w:rsidRDefault="00D977A3" w:rsidP="00D977A3">
      <w:pPr>
        <w:pStyle w:val="Opsommingtekens2"/>
      </w:pPr>
      <w:r w:rsidRPr="00AC0F3F">
        <w:t>Als voor de inwerkingtreding van de Omgevingswet de voorbereiding van een inpassingsplan is gestart maar er nog geen ontwerp van het inpassingsplan ter inzage is gelegd, kan in bepaalde gevallen een ontwerp-projectbesluit ter inzage gelegd worden en kan in andere gevallen binnen een periode van een jaar en zes maanden na de inwerkingtreding van de Omgevingswet een projectbesluit worden vastgesteld</w:t>
      </w:r>
      <w:r w:rsidRPr="00AC0F3F">
        <w:rPr>
          <w:rStyle w:val="Voetnootmarkering"/>
        </w:rPr>
        <w:footnoteReference w:id="58"/>
      </w:r>
      <w:r w:rsidR="00E20741">
        <w:t>;</w:t>
      </w:r>
    </w:p>
    <w:p w14:paraId="27EA35D2" w14:textId="6C9A11D4" w:rsidR="00E20741" w:rsidRPr="00AC0F3F" w:rsidRDefault="00895529" w:rsidP="00D977A3">
      <w:pPr>
        <w:pStyle w:val="Opsommingtekens2"/>
      </w:pPr>
      <w:r w:rsidRPr="00895529">
        <w:t xml:space="preserve">Als voor de inwerkingtreding van de Omgevingswet de voorbereiding van een </w:t>
      </w:r>
      <w:r>
        <w:t>project</w:t>
      </w:r>
      <w:r w:rsidRPr="00895529">
        <w:t>plan is gestart maar er nog geen ontwerp van het projectplan ter inzage is gelegd, kan in bepaalde gevallen een ontwerp-projectbesluit ter inzage gelegd worden en kan in andere gevallen binnen een periode van een jaar en zes maanden na de inwerkingtreding van de Omgevingswet een projectbesluit worden vastgesteld</w:t>
      </w:r>
      <w:r>
        <w:rPr>
          <w:rStyle w:val="Voetnootmarkering"/>
        </w:rPr>
        <w:footnoteReference w:id="59"/>
      </w:r>
      <w:r>
        <w:t>.</w:t>
      </w:r>
    </w:p>
    <w:p w14:paraId="37E74AFB" w14:textId="77777777" w:rsidR="00D653A6" w:rsidRPr="00AC0F3F" w:rsidRDefault="00D653A6" w:rsidP="00D653A6">
      <w:pPr>
        <w:rPr>
          <w:bCs/>
        </w:rPr>
      </w:pPr>
      <w:r w:rsidRPr="00AC0F3F">
        <w:rPr>
          <w:bCs/>
        </w:rPr>
        <w:t>Inpassingsplannen van provincie en Rijk gelden als deel van het omgevingsplan</w:t>
      </w:r>
      <w:r w:rsidRPr="00AC0F3F">
        <w:rPr>
          <w:rStyle w:val="Voetnootmarkering"/>
          <w:bCs/>
        </w:rPr>
        <w:footnoteReference w:id="60"/>
      </w:r>
      <w:r w:rsidRPr="00AC0F3F">
        <w:rPr>
          <w:bCs/>
        </w:rPr>
        <w:t>.</w:t>
      </w:r>
    </w:p>
    <w:p w14:paraId="3F344458" w14:textId="40DDA859" w:rsidR="00D653A6" w:rsidRPr="00AC0F3F" w:rsidRDefault="00D653A6" w:rsidP="00D653A6">
      <w:pPr>
        <w:rPr>
          <w:bCs/>
        </w:rPr>
      </w:pPr>
      <w:r w:rsidRPr="00AC0F3F">
        <w:rPr>
          <w:bCs/>
        </w:rPr>
        <w:t>Voor het gebied dat is begrepen in een tracébesluit geldt het tracébesluit als een voorbereidingsbesluit als bedoeld in artikel 4.14, eerste lid, van de Omgevingswet</w:t>
      </w:r>
      <w:r w:rsidRPr="00AC0F3F">
        <w:rPr>
          <w:rStyle w:val="Voetnootmarkering"/>
          <w:bCs/>
        </w:rPr>
        <w:footnoteReference w:id="61"/>
      </w:r>
      <w:r w:rsidRPr="00AC0F3F">
        <w:rPr>
          <w:bCs/>
        </w:rPr>
        <w:t>: een voorbereidingsbesluit dat het omgevingsplan wijzigt met voorbeschermingsregels</w:t>
      </w:r>
      <w:r w:rsidR="00E6584B">
        <w:rPr>
          <w:bCs/>
        </w:rPr>
        <w:t xml:space="preserve"> en de voorbereiding is op het stellen van regels in het omgevingsplan</w:t>
      </w:r>
      <w:r w:rsidRPr="00AC0F3F">
        <w:rPr>
          <w:bCs/>
        </w:rPr>
        <w:t xml:space="preserve">. Deze voorbeschermingsregels vervallen op het tijdstip waarop het wijzigingsbesluit waarmee het omgevingsplan in overeenstemming wordt gebracht met het tracébesluit van kracht is </w:t>
      </w:r>
      <w:r w:rsidRPr="00AC0F3F">
        <w:rPr>
          <w:bCs/>
        </w:rPr>
        <w:lastRenderedPageBreak/>
        <w:t>geworden</w:t>
      </w:r>
      <w:r w:rsidRPr="00AC0F3F">
        <w:rPr>
          <w:rStyle w:val="Voetnootmarkering"/>
          <w:bCs/>
        </w:rPr>
        <w:footnoteReference w:id="62"/>
      </w:r>
      <w:r w:rsidRPr="00AC0F3F">
        <w:rPr>
          <w:bCs/>
        </w:rPr>
        <w:t>. Nadat het tracébesluit onherroepelijk is geworden, moet het omgevingsplan met het tracébesluit in overeenstemming gebracht worden. Dat moet uiterlijk op het bij koninklijk besluit te bepalen tijdstip, of uiterlijk vijf jaar na het onherroepelijk worden van het tracébesluit, als het tracébesluit korter dan vijf jaar voor bedoeld tijdstip onherroepelijk is geworden</w:t>
      </w:r>
      <w:r w:rsidRPr="00AC0F3F">
        <w:rPr>
          <w:rStyle w:val="Voetnootmarkering"/>
          <w:bCs/>
        </w:rPr>
        <w:footnoteReference w:id="63"/>
      </w:r>
      <w:r w:rsidRPr="00AC0F3F">
        <w:rPr>
          <w:bCs/>
        </w:rPr>
        <w:t>. Zolang het omgevingsplan nog niet in overeenstemming is met het tracébesluit</w:t>
      </w:r>
      <w:r w:rsidR="0022747A">
        <w:rPr>
          <w:bCs/>
        </w:rPr>
        <w:t>,</w:t>
      </w:r>
      <w:r w:rsidRPr="00AC0F3F">
        <w:rPr>
          <w:bCs/>
        </w:rPr>
        <w:t xml:space="preserve"> verleent het college van burgemeester en wethouders aan degenen die inzage verlangen in dat plan ook inzage in het tracébesluit</w:t>
      </w:r>
      <w:r w:rsidRPr="00AC0F3F">
        <w:rPr>
          <w:rStyle w:val="Voetnootmarkering"/>
          <w:bCs/>
        </w:rPr>
        <w:footnoteReference w:id="64"/>
      </w:r>
      <w:r w:rsidRPr="00AC0F3F">
        <w:rPr>
          <w:bCs/>
        </w:rPr>
        <w:t>.</w:t>
      </w:r>
    </w:p>
    <w:p w14:paraId="532EB08B" w14:textId="77777777" w:rsidR="00D653A6" w:rsidRPr="00AC0F3F" w:rsidRDefault="00D653A6" w:rsidP="00D653A6">
      <w:pPr>
        <w:rPr>
          <w:bCs/>
        </w:rPr>
      </w:pPr>
    </w:p>
    <w:p w14:paraId="4137B6C3" w14:textId="77777777" w:rsidR="00D653A6" w:rsidRPr="00AC0F3F" w:rsidRDefault="00D653A6" w:rsidP="00D653A6">
      <w:pPr>
        <w:rPr>
          <w:bCs/>
        </w:rPr>
      </w:pPr>
      <w:r w:rsidRPr="00AC0F3F">
        <w:rPr>
          <w:bCs/>
        </w:rPr>
        <w:t>In DSO-LV zullen raadpleegbaar zijn:</w:t>
      </w:r>
    </w:p>
    <w:p w14:paraId="116B30C2" w14:textId="58813CB8" w:rsidR="00D653A6" w:rsidRPr="00AC0F3F" w:rsidRDefault="00D653A6" w:rsidP="00D653A6">
      <w:pPr>
        <w:pStyle w:val="Opsommingtekens1"/>
      </w:pPr>
      <w:r w:rsidRPr="00AC0F3F">
        <w:t>projectbesluiten die zijn opgesteld met toepassing van de STOP/TPOD-standaard</w:t>
      </w:r>
      <w:r w:rsidR="00303541" w:rsidRPr="00AC0F3F">
        <w:t>;</w:t>
      </w:r>
    </w:p>
    <w:p w14:paraId="583A34C1" w14:textId="72AD3E21" w:rsidR="00D653A6" w:rsidRPr="00AC0F3F" w:rsidRDefault="00D653A6" w:rsidP="00D653A6">
      <w:pPr>
        <w:pStyle w:val="Opsommingtekens1"/>
      </w:pPr>
      <w:r w:rsidRPr="00AC0F3F">
        <w:t>inpassingsplannen (via de overbruggingsfunctie van Informatiehuis Ruimte)</w:t>
      </w:r>
      <w:r w:rsidR="00303541" w:rsidRPr="00AC0F3F">
        <w:t>.</w:t>
      </w:r>
    </w:p>
    <w:p w14:paraId="4C06A562" w14:textId="77777777" w:rsidR="00D653A6" w:rsidRPr="00AC0F3F" w:rsidRDefault="00D653A6" w:rsidP="00D653A6">
      <w:r w:rsidRPr="00AC0F3F">
        <w:t>In DSO-LV zullen niet raadpleegbaar zijn:</w:t>
      </w:r>
    </w:p>
    <w:p w14:paraId="1AB567A2" w14:textId="27BD378C" w:rsidR="00386109" w:rsidRPr="00680D9F" w:rsidRDefault="00D653A6" w:rsidP="002F17CF">
      <w:pPr>
        <w:pStyle w:val="Opsommingtekens1"/>
        <w:rPr>
          <w:bCs/>
        </w:rPr>
      </w:pPr>
      <w:r w:rsidRPr="00AC0F3F">
        <w:t>tracébesluiten</w:t>
      </w:r>
      <w:r w:rsidR="009D7531">
        <w:rPr>
          <w:rStyle w:val="Voetnootmarkering"/>
        </w:rPr>
        <w:footnoteReference w:id="65"/>
      </w:r>
      <w:r w:rsidR="00303541" w:rsidRPr="00AC0F3F">
        <w:t>;</w:t>
      </w:r>
    </w:p>
    <w:p w14:paraId="3C64B044" w14:textId="3C05115B" w:rsidR="00D653A6" w:rsidRPr="006055A4" w:rsidRDefault="00861814">
      <w:pPr>
        <w:pStyle w:val="Opsommingtekens1"/>
        <w:rPr>
          <w:bCs/>
        </w:rPr>
      </w:pPr>
      <w:r>
        <w:t>(</w:t>
      </w:r>
      <w:r w:rsidR="00D653A6" w:rsidRPr="00AC0F3F">
        <w:t xml:space="preserve">voorbeschermingsregels </w:t>
      </w:r>
      <w:r>
        <w:t xml:space="preserve">uit) het voorbereidingsbesluit </w:t>
      </w:r>
      <w:r w:rsidR="00D653A6" w:rsidRPr="00AC0F3F">
        <w:t>in het geval een tracébesluit geldt als voorbereidingsbesluit</w:t>
      </w:r>
      <w:r w:rsidR="00D25D62">
        <w:rPr>
          <w:rStyle w:val="Voetnootmarkering"/>
        </w:rPr>
        <w:footnoteReference w:id="66"/>
      </w:r>
      <w:r w:rsidR="006055A4">
        <w:t>;</w:t>
      </w:r>
    </w:p>
    <w:p w14:paraId="33186326" w14:textId="11D3B3FE" w:rsidR="006055A4" w:rsidRPr="00AC0F3F" w:rsidRDefault="006055A4" w:rsidP="00680D9F">
      <w:pPr>
        <w:pStyle w:val="Opsommingtekens1"/>
        <w:rPr>
          <w:bCs/>
        </w:rPr>
      </w:pPr>
      <w:r>
        <w:t>projectplannen</w:t>
      </w:r>
      <w:r w:rsidR="00D23E0F">
        <w:rPr>
          <w:rStyle w:val="Voetnootmarkering"/>
        </w:rPr>
        <w:footnoteReference w:id="67"/>
      </w:r>
      <w:r>
        <w:t>.</w:t>
      </w:r>
    </w:p>
    <w:p w14:paraId="1BFFA24F" w14:textId="77777777" w:rsidR="004A381E" w:rsidRDefault="004A381E" w:rsidP="002C1284"/>
    <w:p w14:paraId="5CB23A19" w14:textId="381A90B1" w:rsidR="0052705C" w:rsidRPr="002D2D4E" w:rsidRDefault="001A6692" w:rsidP="008D7672">
      <w:r w:rsidRPr="001A6692">
        <w:t>Als B&amp;W, in de periode dat het omgevingsplan nog niet in overeenstemming is met het tracébesluit, inzage moeten verlenen in het tracébesluit, moeten ze dat doen met het bekendgemaakte tracébesluit op overheid.nl en kan dat niet in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