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2F17CF" w:rsidRPr="007B60F8" w:rsidRDefault="00D9742C" w:rsidP="002F17CF">
      <w:pPr>
        <w:pStyle w:val="Kop4"/>
      </w:pPr>
      <w:r w:rsidRPr="007B60F8">
        <w:t>Het aanleverproces</w:t>
      </w:r>
    </w:p>
    <w:p w14:paraId="62B31FC7" w14:textId="6B10BD5C" w:rsidR="002F17CF" w:rsidRPr="007B60F8" w:rsidRDefault="00D9742C">
      <w:r w:rsidRPr="007B60F8">
        <w:t xml:space="preserve">Het bevoegd gezag levert via het digitale kanaal het digitale besluit aan via het bronhouderkoppelvlak. Het digitale besluit bestaat uit een generiek formeel deel met daarin de artikelen c.q. beleidstekst en </w:t>
      </w:r>
      <w:r>
        <w:t xml:space="preserve">geografische informatieobjecten (verder afgekort tot GIO, zie hiervoor paragraaf </w:t>
      </w:r>
      <w:r w:rsidRPr="004359C5">
        <w:rPr>
          <w:rStyle w:val="Verwijzing"/>
        </w:rPr>
        <w:fldChar w:fldCharType="begin" w:fldLock="1"/>
      </w:r>
      <w:r w:rsidRPr="004359C5">
        <w:rPr>
          <w:rStyle w:val="Verwijzing"/>
        </w:rPr>
        <w:instrText xml:space="preserve"> REF _Ref_c6b33db38ef8035a23b39d5d5627d0b6_1 \n \h </w:instrText>
      </w:r>
      <w:r w:rsidRPr="004359C5">
        <w:rPr>
          <w:rStyle w:val="Verwijzing"/>
        </w:rPr>
      </w:r>
      <w:r w:rsidRPr="004359C5">
        <w:rPr>
          <w:rStyle w:val="Verwijzing"/>
        </w:rPr>
        <w:fldChar w:fldCharType="separate"/>
      </w:r>
      <w:r w:rsidR="00DF3BF8" w:rsidRPr="00DF3BF8">
        <w:rPr>
          <w:rStyle w:val="Verwijzing"/>
        </w:rPr>
        <w:t>6.1.2.1</w:t>
      </w:r>
      <w:r w:rsidRPr="004359C5">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4359C5">
        <w:rPr>
          <w:rStyle w:val="Verwijzing"/>
        </w:rPr>
        <w:fldChar w:fldCharType="begin" w:fldLock="1"/>
      </w:r>
      <w:r w:rsidRPr="004359C5">
        <w:rPr>
          <w:rStyle w:val="Verwijzing"/>
        </w:rPr>
        <w:instrText xml:space="preserve"> REF _Ref_da7b1b04c8089dcca6226f5cbd2ab6dc_1 \n \h </w:instrText>
      </w:r>
      <w:r w:rsidRPr="004359C5">
        <w:rPr>
          <w:rStyle w:val="Verwijzing"/>
        </w:rPr>
      </w:r>
      <w:r w:rsidRPr="004359C5">
        <w:rPr>
          <w:rStyle w:val="Verwijzing"/>
        </w:rPr>
        <w:fldChar w:fldCharType="separate"/>
      </w:r>
      <w:r w:rsidR="00DF3BF8" w:rsidRPr="00DF3BF8">
        <w:rPr>
          <w:rStyle w:val="Verwijzing"/>
        </w:rPr>
        <w:t>7</w:t>
      </w:r>
      <w:r w:rsidRPr="004359C5">
        <w:rPr>
          <w:rStyle w:val="Verwijzing"/>
        </w:rPr>
        <w:fldChar w:fldCharType="end"/>
      </w:r>
      <w:r w:rsidR="000533F3">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2F17CF" w:rsidRPr="00B26823" w:rsidRDefault="00D9742C">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8"/>
                    <a:stretch>
                      <a:fillRect/>
                    </a:stretch>
                  </pic:blipFill>
                  <pic:spPr>
                    <a:xfrm>
                      <a:off x="0" y="0"/>
                      <a:ext cx="5400040" cy="1725930"/>
                    </a:xfrm>
                    <a:prstGeom prst="rect">
                      <a:avLst/>
                    </a:prstGeom>
                  </pic:spPr>
                </pic:pic>
              </a:graphicData>
            </a:graphic>
          </wp:inline>
        </w:drawing>
      </w:r>
    </w:p>
    <w:p w14:paraId="2D3BF60B" w14:textId="77777777" w:rsidR="002F17CF" w:rsidRPr="007B60F8" w:rsidRDefault="00D9742C">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28"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