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6C1E4" w14:textId="4C563FD2" w:rsidR="002C36BD" w:rsidRDefault="00C82D00" w:rsidP="00C82D00">
      <w:pPr>
        <w:pStyle w:val="Kop4"/>
      </w:pPr>
      <w:bookmarkStart w:id="150" w:name="_Ref_6a08d53ed215a5b14902efa1bafcfddb_1"/>
      <w:r>
        <w:t>O</w:t>
      </w:r>
      <w:r w:rsidRPr="00C82D00">
        <w:t>p het besluit betrekking hebbende stukken</w:t>
      </w:r>
      <w:bookmarkEnd w:id="150"/>
    </w:p>
    <w:p w14:paraId="612F751D" w14:textId="0F1FAA54" w:rsidR="006922CF" w:rsidRDefault="006922CF" w:rsidP="006922CF">
      <w:r>
        <w:t xml:space="preserve">In paragraaf </w:t>
      </w:r>
      <w:r w:rsidR="004375CF">
        <w:fldChar w:fldCharType="begin" w:fldLock="1"/>
      </w:r>
      <w:r w:rsidR="004375CF">
        <w:instrText xml:space="preserve"> REF _Ref_5d8ce0095cac04b543cc5cb230fcdbb5_1 \n \h </w:instrText>
      </w:r>
      <w:r w:rsidR="004375CF">
        <w:fldChar w:fldCharType="separate"/>
      </w:r>
      <w:r w:rsidR="00DF3BF8" w:rsidRPr="00DF3BF8">
        <w:rPr>
          <w:rStyle w:val="Verwijzing"/>
        </w:rPr>
        <w:t>5.4.1</w:t>
      </w:r>
      <w:r w:rsidR="004375CF">
        <w:fldChar w:fldCharType="end"/>
      </w:r>
      <w:r w:rsidR="004375CF">
        <w:t xml:space="preserve"> is </w:t>
      </w:r>
      <w:r w:rsidR="007A6091">
        <w:t>aangegeven</w:t>
      </w:r>
      <w:r w:rsidR="00051659">
        <w:t xml:space="preserve"> wat op </w:t>
      </w:r>
      <w:r w:rsidR="00051659" w:rsidRPr="00051659">
        <w:t xml:space="preserve">het </w:t>
      </w:r>
      <w:r w:rsidR="00086F47">
        <w:t>(ontwer</w:t>
      </w:r>
      <w:r w:rsidR="005555DF">
        <w:t>p)</w:t>
      </w:r>
      <w:r w:rsidR="00051659" w:rsidRPr="00051659">
        <w:t>besluit betrekking hebbende stukken zijn</w:t>
      </w:r>
      <w:r w:rsidR="00051659">
        <w:t xml:space="preserve">: dat </w:t>
      </w:r>
      <w:r w:rsidR="00051659" w:rsidRPr="00051659">
        <w:t>zijn stukken die het bestuursorgaan gebruikt bij de onderbouwing van het besluit, maar niet vaststelt.</w:t>
      </w:r>
      <w:r w:rsidR="00D04220">
        <w:t xml:space="preserve"> </w:t>
      </w:r>
      <w:r w:rsidR="005A2512">
        <w:t xml:space="preserve">Bekende voorbeelden zijn de </w:t>
      </w:r>
      <w:r w:rsidR="00D04220">
        <w:t>r</w:t>
      </w:r>
      <w:r w:rsidR="00D04220" w:rsidRPr="00D04220">
        <w:t>apportages van onderzoeken die zijn uitgevoerd ter onderbouwing van het besluit</w:t>
      </w:r>
      <w:r w:rsidR="005A2512">
        <w:t xml:space="preserve">, zoals een </w:t>
      </w:r>
      <w:r w:rsidR="00DF2712">
        <w:t>milieueffectrapportage</w:t>
      </w:r>
      <w:r w:rsidR="006639F3">
        <w:t xml:space="preserve"> en rapportages van </w:t>
      </w:r>
      <w:r w:rsidR="00DF0F61" w:rsidRPr="00DF0F61">
        <w:t>akoestisch onderzoek</w:t>
      </w:r>
      <w:r w:rsidR="00DF0F61">
        <w:t>, archeologisch onderzoek en</w:t>
      </w:r>
      <w:r w:rsidR="00DF0F61" w:rsidRPr="00DF0F61">
        <w:t xml:space="preserve"> </w:t>
      </w:r>
      <w:r w:rsidR="006639F3">
        <w:t>bodemonderzoek.</w:t>
      </w:r>
      <w:r w:rsidR="003F244F">
        <w:t xml:space="preserve"> </w:t>
      </w:r>
      <w:r w:rsidR="003F244F" w:rsidRPr="003F244F">
        <w:t xml:space="preserve">Op het </w:t>
      </w:r>
      <w:r w:rsidR="005555DF">
        <w:t>(ontwerp)</w:t>
      </w:r>
      <w:r w:rsidR="003F244F" w:rsidRPr="003F244F">
        <w:t>besluit betrekking hebbende stukken</w:t>
      </w:r>
      <w:r w:rsidR="003F244F">
        <w:t xml:space="preserve"> </w:t>
      </w:r>
      <w:r w:rsidR="00EB1DD0">
        <w:t xml:space="preserve">zijn geen onderdeel van de </w:t>
      </w:r>
      <w:r w:rsidR="005555DF">
        <w:t xml:space="preserve">publicatie of </w:t>
      </w:r>
      <w:r w:rsidR="00EB1DD0">
        <w:t xml:space="preserve">bekendmaking </w:t>
      </w:r>
      <w:r w:rsidR="003F244F">
        <w:t xml:space="preserve">in het </w:t>
      </w:r>
      <w:r w:rsidR="00EB1DD0">
        <w:t>publicatieblad, maar worden ter inzage gelegd.</w:t>
      </w:r>
      <w:r w:rsidR="00654898">
        <w:t xml:space="preserve"> Vanuit het besluit in het publicatieblad moet het mogelijk zijn om op eenvoudige wijze de elektronisch </w:t>
      </w:r>
      <w:r w:rsidR="00014C8E" w:rsidRPr="00014C8E">
        <w:t>ter inzage gelegd</w:t>
      </w:r>
      <w:r w:rsidR="00014C8E">
        <w:t>e stukken te raadplegen.</w:t>
      </w:r>
    </w:p>
    <w:p w14:paraId="617B1DBA" w14:textId="3A4C6D46" w:rsidR="00806973" w:rsidRDefault="00E6487A" w:rsidP="006922CF">
      <w:r>
        <w:t xml:space="preserve">Voor </w:t>
      </w:r>
      <w:r w:rsidR="00BC52E8">
        <w:t xml:space="preserve">de elektronische </w:t>
      </w:r>
      <w:r>
        <w:t>terinzagelegg</w:t>
      </w:r>
      <w:r w:rsidR="00BC52E8">
        <w:t xml:space="preserve">ing </w:t>
      </w:r>
      <w:r>
        <w:t xml:space="preserve">van de </w:t>
      </w:r>
      <w:r w:rsidRPr="00E6487A">
        <w:t xml:space="preserve">op het </w:t>
      </w:r>
      <w:r w:rsidR="000E1B70">
        <w:t>(on</w:t>
      </w:r>
      <w:r w:rsidR="007476A2">
        <w:t>t</w:t>
      </w:r>
      <w:r w:rsidR="000E1B70">
        <w:t>werp)</w:t>
      </w:r>
      <w:r w:rsidRPr="00E6487A">
        <w:t>besluit betrekking hebbende stukken</w:t>
      </w:r>
      <w:r>
        <w:t xml:space="preserve"> wordt een centrale voorziening </w:t>
      </w:r>
      <w:r w:rsidR="00FF37E3">
        <w:t>gerealiseerd. Er wordt nog beschreven hoe de aanlevering</w:t>
      </w:r>
      <w:r w:rsidR="00654898">
        <w:t xml:space="preserve"> </w:t>
      </w:r>
      <w:r w:rsidR="00014C8E">
        <w:t xml:space="preserve">van die stukken aan de </w:t>
      </w:r>
      <w:r w:rsidR="00014C8E" w:rsidRPr="00014C8E">
        <w:t>centrale voorziening</w:t>
      </w:r>
      <w:r w:rsidR="00014C8E">
        <w:t xml:space="preserve"> plaats moet vinden en </w:t>
      </w:r>
      <w:r w:rsidR="006E21BE">
        <w:t xml:space="preserve">hoe er voor gezorgd wordt dat </w:t>
      </w:r>
      <w:r w:rsidR="006E21BE" w:rsidRPr="006E21BE">
        <w:t>de elektronisch ter inzage gelegde stukken</w:t>
      </w:r>
      <w:r w:rsidR="006E21BE">
        <w:t xml:space="preserve"> v</w:t>
      </w:r>
      <w:r w:rsidR="006E21BE" w:rsidRPr="006E21BE">
        <w:t>anuit het besluit in het publicatieblad</w:t>
      </w:r>
      <w:r w:rsidR="006E21BE">
        <w:t xml:space="preserve"> en vanuit DSO-LV te raadplegen zijn</w:t>
      </w:r>
      <w:r w:rsidR="002A5125">
        <w:t>.</w:t>
      </w:r>
    </w:p>
    <w:p w14:paraId="230A7EE9" w14:textId="0857735A" w:rsidR="00285726" w:rsidRPr="006922CF" w:rsidRDefault="0004288B" w:rsidP="00D946EE">
      <w:pPr>
        <w:pStyle w:val="Kader"/>
      </w:pPr>
      <w:r w:rsidRPr="00B26823">
        <w:rPr>
          <w:noProof/>
        </w:rPr>
        <mc:AlternateContent>
          <mc:Choice Requires="wps">
            <w:drawing>
              <wp:inline distT="0" distB="0" distL="0" distR="0" wp14:anchorId="1DF10602" wp14:editId="7C1ABBA4">
                <wp:extent cx="5400040" cy="1518404"/>
                <wp:effectExtent l="0" t="0" r="22860" b="22860"/>
                <wp:docPr id="22" name="Tekstvak 22"/>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3E5148E6" w14:textId="77777777" w:rsidR="0004288B" w:rsidRPr="00D80A79" w:rsidRDefault="0004288B" w:rsidP="0004288B">
                            <w:pPr>
                              <w:rPr>
                                <w:b/>
                                <w:bCs/>
                              </w:rPr>
                            </w:pPr>
                            <w:r w:rsidRPr="00D80A79">
                              <w:rPr>
                                <w:b/>
                                <w:bCs/>
                              </w:rPr>
                              <w:t>Toekomstige functionaliteit</w:t>
                            </w:r>
                          </w:p>
                          <w:p w14:paraId="24E68B3B" w14:textId="42AE28AF" w:rsidR="0004288B" w:rsidRDefault="00627D51" w:rsidP="0004288B">
                            <w:r>
                              <w:t xml:space="preserve">Er wordt een </w:t>
                            </w:r>
                            <w:r w:rsidRPr="00627D51">
                              <w:t>centrale voorziening gerealiseerd</w:t>
                            </w:r>
                            <w:r>
                              <w:t xml:space="preserve"> </w:t>
                            </w:r>
                            <w:r w:rsidR="00F31096">
                              <w:t xml:space="preserve">voor </w:t>
                            </w:r>
                            <w:r w:rsidR="00F31096" w:rsidRPr="00F31096">
                              <w:t>de elektronische terinzagelegging van op het besluit betrekking hebbende stukken</w:t>
                            </w:r>
                            <w:r w:rsidR="00F31096">
                              <w:t>. In een volgende versie van dit toepassingsprofiel wordt beschreven welke voorziening dat is en hoe</w:t>
                            </w:r>
                            <w:r w:rsidR="000A0161">
                              <w:t xml:space="preserve"> de ter inzage te leggen stukken daaraan aangeleverd moeten worden.</w:t>
                            </w:r>
                          </w:p>
                          <w:p w14:paraId="44C46117" w14:textId="2C22E03F" w:rsidR="00D07B58" w:rsidRPr="0022671B" w:rsidRDefault="00D07B58" w:rsidP="0004288B">
                            <w:r>
                              <w:t>De verwachting is dat dit alles tijdig voor inwerkingtreden van de Omgevingswet werkt en bekend is. Mocht dat niet het geval zijn, dan kunnen de betreffende stukken als onderdeel van het BesluitCompact conform STOP aan de LVBB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DF10602" id="Tekstvak 22" o:spid="_x0000_s1028"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" filled="f" strokeweight=".5pt">
                <v:textbox style="mso-fit-shape-to-text:t">
                  <w:txbxContent>
                    <w:p w14:paraId="3E5148E6" w14:textId="77777777" w:rsidR="0004288B" w:rsidRPr="00D80A79" w:rsidRDefault="0004288B" w:rsidP="0004288B">
                      <w:pPr>
                        <w:rPr>
                          <w:b/>
                          <w:bCs/>
                        </w:rPr>
                      </w:pPr>
                      <w:r w:rsidRPr="00D80A79">
                        <w:rPr>
                          <w:b/>
                          <w:bCs/>
                        </w:rPr>
                        <w:t>Toekomstige functionaliteit</w:t>
                      </w:r>
                    </w:p>
                    <w:p w14:paraId="24E68B3B" w14:textId="42AE28AF" w:rsidR="0004288B" w:rsidRDefault="00627D51" w:rsidP="0004288B">
                      <w:r>
                        <w:t xml:space="preserve">Er wordt een </w:t>
                      </w:r>
                      <w:r w:rsidRPr="00627D51">
                        <w:t>centrale voorziening gerealiseerd</w:t>
                      </w:r>
                      <w:r>
                        <w:t xml:space="preserve"> </w:t>
                      </w:r>
                      <w:r w:rsidR="00F31096">
                        <w:t xml:space="preserve">voor </w:t>
                      </w:r>
                      <w:r w:rsidR="00F31096" w:rsidRPr="00F31096">
                        <w:t>de elektronische terinzagelegging van op het besluit betrekking hebbende stukken</w:t>
                      </w:r>
                      <w:r w:rsidR="00F31096">
                        <w:t>. In een volgende versie van dit toepassingsprofiel wordt beschreven welke voorziening dat is en hoe</w:t>
                      </w:r>
                      <w:r w:rsidR="000A0161">
                        <w:t xml:space="preserve"> de ter inzage te leggen stukken daaraan aangeleverd moeten worden.</w:t>
                      </w:r>
                    </w:p>
                    <w:p w14:paraId="44C46117" w14:textId="2C22E03F" w:rsidR="00D07B58" w:rsidRPr="0022671B" w:rsidRDefault="00D07B58" w:rsidP="0004288B">
                      <w:r>
                        <w:t>De verwachting is dat dit alles tijdig voor inwerkingtreden van de Omgevingswet werkt en bekend is. Mocht dat niet het geval zijn, dan kunnen de betreffende stukken als onderdeel van het BesluitCompact conform STOP aan de LVBB worden aangeleverd.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