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27867" w14:textId="29D6536C" w:rsidR="002F17CF" w:rsidRPr="00F1426F" w:rsidRDefault="00D9742C" w:rsidP="002F17CF">
      <w:pPr>
        <w:pStyle w:val="Kop4"/>
      </w:pPr>
      <w:r w:rsidRPr="00F1426F">
        <w:lastRenderedPageBreak/>
        <w:t>Definitie</w:t>
      </w:r>
    </w:p>
    <w:p w14:paraId="56F1EAEC" w14:textId="048DF5C4" w:rsidR="002F17CF" w:rsidRPr="00F1426F" w:rsidRDefault="00D9742C" w:rsidP="002F17CF">
      <w:r w:rsidRPr="00F1426F">
        <w:t xml:space="preserve">Het </w:t>
      </w:r>
      <w:r>
        <w:t>OW-object</w:t>
      </w:r>
      <w:r w:rsidRPr="00F1426F">
        <w:t xml:space="preserve">type Divisie is </w:t>
      </w:r>
      <w:r>
        <w:t>een</w:t>
      </w:r>
      <w:r w:rsidRPr="00F1426F">
        <w:t xml:space="preserve"> zelfstandige eenheid van (een of meer) bij elkaar horende beleidsteksten waarnaar kan worden verwezen in het </w:t>
      </w:r>
      <w:r>
        <w:t>L</w:t>
      </w:r>
      <w:r w:rsidRPr="00F1426F">
        <w:t>ichaam van</w:t>
      </w:r>
      <w:r>
        <w:t xml:space="preserve"> de Regeling van</w:t>
      </w:r>
      <w:r w:rsidRPr="00F1426F">
        <w:t xml:space="preserve"> omgevingsdocumenten met Vrijetekststructuur.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