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F17CF" w:rsidRPr="00C33ADB" w:rsidRDefault="00D9742C" w:rsidP="002F17CF">
      <w:pPr>
        <w:pStyle w:val="Kop5"/>
      </w:pPr>
      <w:r w:rsidRPr="00C33ADB">
        <w:t>Onderscheid tussen sectorale en niet-sectorale Gebiedsaanwijzingtypen</w:t>
      </w:r>
    </w:p>
    <w:p w14:paraId="392F4BC1" w14:textId="77777777" w:rsidR="002F17CF" w:rsidRDefault="00D9742C" w:rsidP="002F17CF">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2F17CF" w:rsidRDefault="00D9742C" w:rsidP="002F17CF">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 xml:space="preserve">regels in een viewer op een kaartbeeld </w:t>
      </w:r>
      <w:r w:rsidRPr="00F1426F">
        <w:lastRenderedPageBreak/>
        <w:t>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