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F17CF" w:rsidRPr="007F28B9" w:rsidRDefault="00D9742C" w:rsidP="002F17CF">
      <w:pPr>
        <w:pStyle w:val="Kop5"/>
      </w:pPr>
      <w:r w:rsidRPr="007F28B9">
        <w:lastRenderedPageBreak/>
        <w:t>Water en watersysteem</w:t>
      </w:r>
    </w:p>
    <w:p w14:paraId="01234DD1" w14:textId="77777777" w:rsidR="002F17CF" w:rsidRPr="007F28B9" w:rsidRDefault="00D9742C" w:rsidP="002F17CF">
      <w:pPr>
        <w:pStyle w:val="Kop6"/>
      </w:pPr>
      <w:r w:rsidRPr="007F28B9">
        <w:t>Toelichting op de toepassing</w:t>
      </w:r>
    </w:p>
    <w:p w14:paraId="426CF57C" w14:textId="51ED827F" w:rsidR="002F17CF" w:rsidRPr="007F28B9" w:rsidRDefault="00D9742C" w:rsidP="002F17CF">
      <w:r w:rsidRPr="007F28B9">
        <w:t xml:space="preserve">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w:t>
      </w:r>
      <w:r w:rsidR="00D344A1" w:rsidRPr="00D344A1">
        <w:t xml:space="preserve">kan ook worden gebruikt in omgevingsdocumenten zoals omgevingsvisie, programma en projectbesluit voor het aangeven van gebieden en objecten waar bijzondere aandacht is voor </w:t>
      </w:r>
      <w:r w:rsidRPr="007F28B9">
        <w:t>water en watersysteem.</w:t>
      </w:r>
    </w:p>
    <w:p w14:paraId="6912767B" w14:textId="77777777" w:rsidR="002F17CF" w:rsidRPr="007F28B9" w:rsidRDefault="00D9742C" w:rsidP="002F17CF">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F17CF" w:rsidRPr="007F28B9" w:rsidRDefault="00D9742C" w:rsidP="002F17CF">
      <w:pPr>
        <w:pStyle w:val="Kop6"/>
      </w:pPr>
      <w:r w:rsidRPr="007F28B9">
        <w:t>Definitie</w:t>
      </w:r>
    </w:p>
    <w:p w14:paraId="2C3A9744" w14:textId="303658FE" w:rsidR="002F17CF" w:rsidRPr="00F1426F" w:rsidRDefault="00D9742C"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