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95B72" w14:textId="08A8D4B8" w:rsidR="009014EE" w:rsidRPr="008E3D71" w:rsidRDefault="38B9C467" w:rsidP="009014EE">
      <w:pPr>
        <w:pStyle w:val="Kop3"/>
      </w:pPr>
      <w:bookmarkStart w:id="242" w:name="_Ref_75e20a0a82fcc8abbd69fd17bec4cdb9_1"/>
      <w:r>
        <w:t xml:space="preserve">Standaardindeling </w:t>
      </w:r>
      <w:r w:rsidR="2E07E84B">
        <w:t xml:space="preserve">tijdelijk regelingdeel bij </w:t>
      </w:r>
      <w:r w:rsidR="1CA1A99B">
        <w:fldChar w:fldCharType="begin"/>
      </w:r>
      <w:r w:rsidR="1CA1A99B">
        <w:instrText xml:space="preserve"> DOCVARIABLE ID01+ </w:instrText>
      </w:r>
      <w:r w:rsidR="1CA1A99B">
        <w:fldChar w:fldCharType="separate"/>
      </w:r>
      <w:r w:rsidR="004C5663">
        <w:t>het projectbesluit</w:t>
      </w:r>
      <w:r w:rsidR="1CA1A99B">
        <w:fldChar w:fldCharType="end"/>
      </w:r>
      <w:bookmarkEnd w:id="242"/>
    </w:p>
    <w:p w14:paraId="65D5D9C3" w14:textId="4F1A3D87" w:rsidR="009014EE" w:rsidRPr="00F62F31" w:rsidRDefault="00226D11" w:rsidP="009014EE">
      <w:r>
        <w:t>T</w:t>
      </w:r>
      <w:r w:rsidR="009014EE">
        <w:t xml:space="preserve">en behoeve van een goede werking </w:t>
      </w:r>
      <w:r>
        <w:t xml:space="preserve">zijn er </w:t>
      </w:r>
      <w:r w:rsidR="009014EE">
        <w:t>enige voorschriften voor de indeling</w:t>
      </w:r>
      <w:r>
        <w:t xml:space="preserve"> van het tijdelijk regelingdeel bij </w:t>
      </w:r>
      <w:fldSimple w:instr=" DOCVARIABLE ID01+ ">
        <w:r w:rsidR="004C5663">
          <w:t>het projectbesluit</w:t>
        </w:r>
      </w:fldSimple>
      <w:r w:rsidR="009014EE" w:rsidRPr="00F62F31">
        <w:t>. In de navolgende subparagrafen wordt dat toegelicht en wordt de norm geformuleerd die dit toepassingsprofiel op dit punt ste</w:t>
      </w:r>
      <w:r w:rsidR="009014EE">
        <w:t>lt</w:t>
      </w:r>
      <w:r w:rsidR="009014EE"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