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2F17CF" w:rsidRPr="00F03DD9" w:rsidRDefault="00D9742C" w:rsidP="002F17CF">
      <w:pPr>
        <w:pStyle w:val="Kop1"/>
      </w:pPr>
      <w:bookmarkStart w:id="262" w:name="_Ref_2c43dd281ea89a7c9af32f7402ea9c97_1"/>
      <w:r w:rsidRPr="00F03DD9">
        <w:lastRenderedPageBreak/>
        <w:t>Aspecten van de aanlevering</w:t>
      </w:r>
      <w:bookmarkEnd w:id="262"/>
    </w:p>
    <w:p w14:paraId="7060A676" w14:textId="32990D6B" w:rsidR="00B20CE5" w:rsidRPr="00F03DD9" w:rsidRDefault="00B20CE5" w:rsidP="002F17CF">
      <w:r w:rsidRPr="00F03DD9">
        <w:t xml:space="preserve">In dit deel </w:t>
      </w:r>
      <w:r w:rsidRPr="00546429">
        <w:t xml:space="preserve">wordt een aantal </w:t>
      </w:r>
      <w:r>
        <w:t xml:space="preserve">aanleveringsaspecten beschreven. Hoofdstuk </w:t>
      </w:r>
      <w:r w:rsidR="009456DD">
        <w:rPr>
          <w:rStyle w:val="Verwijzing"/>
        </w:rPr>
        <w:fldChar w:fldCharType="begin" w:fldLock="1"/>
      </w:r>
      <w:r w:rsidR="009456DD">
        <w:instrText xml:space="preserve"> REF _Ref_9d1f7c2e5545ebb0f1e0b271dae49052_2 \n \h </w:instrText>
      </w:r>
      <w:r w:rsidR="009456DD">
        <w:rPr>
          <w:rStyle w:val="Verwijzing"/>
        </w:rPr>
      </w:r>
      <w:r w:rsidR="009456DD">
        <w:rPr>
          <w:rStyle w:val="Verwijzing"/>
        </w:rPr>
        <w:fldChar w:fldCharType="separate"/>
      </w:r>
      <w:r w:rsidR="00DF3BF8" w:rsidRPr="00DF3BF8">
        <w:rPr>
          <w:rStyle w:val="Verwijzing"/>
        </w:rPr>
        <w:t>10</w:t>
      </w:r>
      <w:r w:rsidR="009456DD">
        <w:rPr>
          <w:rStyle w:val="Verwijzing"/>
        </w:rPr>
        <w:fldChar w:fldCharType="end"/>
      </w:r>
      <w:r>
        <w:t xml:space="preserve"> beschrijft de procedure van </w:t>
      </w:r>
      <w:fldSimple w:instr=" DOCVARIABLE ID01+ ">
        <w:r w:rsidR="004C5663">
          <w:t>het projectbesluit</w:t>
        </w:r>
      </w:fldSimple>
      <w:r w:rsidR="009456DD">
        <w:t xml:space="preserve"> en</w:t>
      </w:r>
      <w:r>
        <w:t xml:space="preserve"> de aan te leveren producten en gegevens. Na een inleiding in paragraaf </w:t>
      </w:r>
      <w:r w:rsidR="009456DD">
        <w:rPr>
          <w:rStyle w:val="Verwijzing"/>
        </w:rPr>
        <w:fldChar w:fldCharType="begin" w:fldLock="1"/>
      </w:r>
      <w:r w:rsidR="009456DD">
        <w:instrText xml:space="preserve"> REF _Ref_1222f8e0a6637caab52a31708e7c6050_1 \n \h </w:instrText>
      </w:r>
      <w:r w:rsidR="009456DD">
        <w:rPr>
          <w:rStyle w:val="Verwijzing"/>
        </w:rPr>
      </w:r>
      <w:r w:rsidR="009456DD">
        <w:rPr>
          <w:rStyle w:val="Verwijzing"/>
        </w:rPr>
        <w:fldChar w:fldCharType="separate"/>
      </w:r>
      <w:r w:rsidR="00DF3BF8" w:rsidRPr="00DF3BF8">
        <w:rPr>
          <w:rStyle w:val="Verwijzing"/>
        </w:rPr>
        <w:t>10.1</w:t>
      </w:r>
      <w:r w:rsidR="009456DD">
        <w:rPr>
          <w:rStyle w:val="Verwijzing"/>
        </w:rPr>
        <w:fldChar w:fldCharType="end"/>
      </w:r>
      <w:r>
        <w:t xml:space="preserve"> worden </w:t>
      </w:r>
      <w:r w:rsidRPr="0033098D">
        <w:t xml:space="preserve">de identificatie van </w:t>
      </w:r>
      <w:r>
        <w:t xml:space="preserve">een </w:t>
      </w:r>
      <w:r w:rsidRPr="0033098D">
        <w:t xml:space="preserve">Regelingversie door middel van Doel (paragraaf </w:t>
      </w:r>
      <w:r w:rsidR="009456DD">
        <w:rPr>
          <w:rStyle w:val="Verwijzing"/>
        </w:rPr>
        <w:fldChar w:fldCharType="begin" w:fldLock="1"/>
      </w:r>
      <w:r w:rsidR="009456DD">
        <w:instrText xml:space="preserve"> REF _Ref_1222f8e0a6637caab52a31708e7c6050_2 \n \h </w:instrText>
      </w:r>
      <w:r w:rsidR="009456DD">
        <w:rPr>
          <w:rStyle w:val="Verwijzing"/>
        </w:rPr>
      </w:r>
      <w:r w:rsidR="009456DD">
        <w:rPr>
          <w:rStyle w:val="Verwijzing"/>
        </w:rPr>
        <w:fldChar w:fldCharType="separate"/>
      </w:r>
      <w:r w:rsidR="00DF3BF8" w:rsidRPr="00DF3BF8">
        <w:rPr>
          <w:rStyle w:val="Verwijzing"/>
        </w:rPr>
        <w:t>10.2</w:t>
      </w:r>
      <w:r w:rsidR="009456DD">
        <w:rPr>
          <w:rStyle w:val="Verwijzing"/>
        </w:rPr>
        <w:fldChar w:fldCharType="end"/>
      </w:r>
      <w:r w:rsidRPr="0033098D">
        <w:t>)</w:t>
      </w:r>
      <w:r>
        <w:t xml:space="preserve">, de modellering van de kennisgeving </w:t>
      </w:r>
      <w:r w:rsidRPr="00554C9B">
        <w:t xml:space="preserve">(paragraaf </w:t>
      </w:r>
      <w:r w:rsidR="001D3451">
        <w:rPr>
          <w:rStyle w:val="Verwijzing"/>
        </w:rPr>
        <w:fldChar w:fldCharType="begin" w:fldLock="1"/>
      </w:r>
      <w:r w:rsidR="001D3451">
        <w:instrText xml:space="preserve"> REF _Ref_8988ecbafe6d241551cf524b6f1bd0ea_1 \n \h </w:instrText>
      </w:r>
      <w:r w:rsidR="001D3451">
        <w:rPr>
          <w:rStyle w:val="Verwijzing"/>
        </w:rPr>
      </w:r>
      <w:r w:rsidR="001D3451">
        <w:rPr>
          <w:rStyle w:val="Verwijzing"/>
        </w:rPr>
        <w:fldChar w:fldCharType="separate"/>
      </w:r>
      <w:r w:rsidR="00DF3BF8" w:rsidRPr="00DF3BF8">
        <w:rPr>
          <w:rStyle w:val="Verwijzing"/>
        </w:rPr>
        <w:t>10.3</w:t>
      </w:r>
      <w:r w:rsidR="001D3451">
        <w:rPr>
          <w:rStyle w:val="Verwijzing"/>
        </w:rPr>
        <w:fldChar w:fldCharType="end"/>
      </w:r>
      <w:r w:rsidRPr="00554C9B">
        <w:t>)</w:t>
      </w:r>
      <w:r w:rsidR="00633C2C">
        <w:t xml:space="preserve"> en van de mededeling van </w:t>
      </w:r>
      <w:r w:rsidR="00823769">
        <w:t xml:space="preserve">een rechterlijke uitspraak (paragraaf </w:t>
      </w:r>
      <w:r w:rsidR="00823769">
        <w:fldChar w:fldCharType="begin" w:fldLock="1"/>
      </w:r>
      <w:r w:rsidR="00823769">
        <w:instrText xml:space="preserve"> REF _Ref_f23549d1f18ed8673287ac2096ae2435_1 \n \h </w:instrText>
      </w:r>
      <w:r w:rsidR="00823769">
        <w:fldChar w:fldCharType="separate"/>
      </w:r>
      <w:r w:rsidR="00DF3BF8" w:rsidRPr="00DF3BF8">
        <w:rPr>
          <w:rStyle w:val="Verwijzing"/>
        </w:rPr>
        <w:t>10.4</w:t>
      </w:r>
      <w:r w:rsidR="00823769">
        <w:fldChar w:fldCharType="end"/>
      </w:r>
      <w:r w:rsidR="00823769">
        <w:t>) beschreven</w:t>
      </w:r>
      <w:r w:rsidR="00EB28BE">
        <w:t>. D</w:t>
      </w:r>
      <w:r>
        <w:t xml:space="preserve">e werking van procedure-informatie en consolidatie </w:t>
      </w:r>
      <w:r w:rsidR="00EB28BE">
        <w:t xml:space="preserve">is het onderwerp van </w:t>
      </w:r>
      <w:r w:rsidRPr="00441B78">
        <w:t xml:space="preserve">paragraaf </w:t>
      </w:r>
      <w:r w:rsidR="00EB28BE">
        <w:rPr>
          <w:rStyle w:val="Verwijzing"/>
        </w:rPr>
        <w:fldChar w:fldCharType="begin" w:fldLock="1"/>
      </w:r>
      <w:r w:rsidR="00EB28BE">
        <w:instrText xml:space="preserve"> REF _Ref_e2216ff1eb6d72ef65a9b97fa83bb72b_1 \n \h </w:instrText>
      </w:r>
      <w:r w:rsidR="00EB28BE">
        <w:rPr>
          <w:rStyle w:val="Verwijzing"/>
        </w:rPr>
      </w:r>
      <w:r w:rsidR="00EB28BE">
        <w:rPr>
          <w:rStyle w:val="Verwijzing"/>
        </w:rPr>
        <w:fldChar w:fldCharType="separate"/>
      </w:r>
      <w:r w:rsidR="00DF3BF8" w:rsidRPr="00DF3BF8">
        <w:rPr>
          <w:rStyle w:val="Verwijzing"/>
        </w:rPr>
        <w:t>10.5</w:t>
      </w:r>
      <w:r w:rsidR="00EB28BE">
        <w:rPr>
          <w:rStyle w:val="Verwijzing"/>
        </w:rPr>
        <w:fldChar w:fldCharType="end"/>
      </w:r>
      <w:r>
        <w:t xml:space="preserve">. Vervolgens wordt in paragraaf </w:t>
      </w:r>
      <w:r w:rsidR="001D3451">
        <w:rPr>
          <w:rStyle w:val="Verwijzing"/>
        </w:rPr>
        <w:fldChar w:fldCharType="begin" w:fldLock="1"/>
      </w:r>
      <w:r w:rsidR="001D3451">
        <w:instrText xml:space="preserve"> REF _Ref_65bc2f83dbf57e5795b976e119472b46_1 \n \h </w:instrText>
      </w:r>
      <w:r w:rsidR="001D3451">
        <w:rPr>
          <w:rStyle w:val="Verwijzing"/>
        </w:rPr>
      </w:r>
      <w:r w:rsidR="001D3451">
        <w:rPr>
          <w:rStyle w:val="Verwijzing"/>
        </w:rPr>
        <w:fldChar w:fldCharType="separate"/>
      </w:r>
      <w:r w:rsidR="00DF3BF8" w:rsidRPr="00DF3BF8">
        <w:rPr>
          <w:rStyle w:val="Verwijzing"/>
        </w:rPr>
        <w:t>10.6</w:t>
      </w:r>
      <w:r w:rsidR="001D3451">
        <w:rPr>
          <w:rStyle w:val="Verwijzing"/>
        </w:rPr>
        <w:fldChar w:fldCharType="end"/>
      </w:r>
      <w:r>
        <w:t xml:space="preserve"> gedetailleerd aan de hand van de </w:t>
      </w:r>
      <w:r w:rsidR="00582E3F">
        <w:t>project</w:t>
      </w:r>
      <w:r>
        <w:t xml:space="preserve">procedure beschreven welke producten en gegevens het bevoegd gezag per stap en fase in die procedure moet aanleveren. In hoofdstuk </w:t>
      </w:r>
      <w:r w:rsidR="00D37F0E">
        <w:rPr>
          <w:rStyle w:val="Verwijzing"/>
        </w:rPr>
        <w:fldChar w:fldCharType="begin" w:fldLock="1"/>
      </w:r>
      <w:r w:rsidR="00D37F0E">
        <w:instrText xml:space="preserve"> REF _Ref_b538a9c0bbfe756b3f7f7a3c7d1cbf8d_1 \n \h </w:instrText>
      </w:r>
      <w:r w:rsidR="00D37F0E">
        <w:rPr>
          <w:rStyle w:val="Verwijzing"/>
        </w:rPr>
      </w:r>
      <w:r w:rsidR="00D37F0E">
        <w:rPr>
          <w:rStyle w:val="Verwijzing"/>
        </w:rPr>
        <w:fldChar w:fldCharType="separate"/>
      </w:r>
      <w:r w:rsidR="00DF3BF8" w:rsidRPr="00DF3BF8">
        <w:rPr>
          <w:rStyle w:val="Verwijzing"/>
        </w:rPr>
        <w:t>11</w:t>
      </w:r>
      <w:r w:rsidR="00D37F0E">
        <w:rPr>
          <w:rStyle w:val="Verwijzing"/>
        </w:rPr>
        <w:fldChar w:fldCharType="end"/>
      </w:r>
      <w:r>
        <w:t xml:space="preserve"> is het mutatiescenario Integrale tekstvervanging beschreven en is vastgelegd in welke gevallen en wanneer dit mutatiescenario mag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