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C7F1" w14:textId="46F089EB" w:rsidR="00503078" w:rsidRDefault="00503078" w:rsidP="00664709">
      <w:pPr>
        <w:pStyle w:val="Kop5"/>
      </w:pPr>
      <w:r>
        <w:t>Voorkeursbeslissing</w:t>
      </w:r>
    </w:p>
    <w:p w14:paraId="719A33A6" w14:textId="1BA17ED8" w:rsidR="00ED2102" w:rsidRDefault="00ED2102" w:rsidP="00664709">
      <w:pPr>
        <w:pStyle w:val="Kop6"/>
      </w:pPr>
      <w:r>
        <w:t>Juridisch kader</w:t>
      </w:r>
    </w:p>
    <w:p w14:paraId="18CA3C7C" w14:textId="22F8B656" w:rsidR="004C5663" w:rsidRDefault="007A6D0F" w:rsidP="00FF37AA">
      <w:r>
        <w:t xml:space="preserve">Voor sommige </w:t>
      </w:r>
      <w:r w:rsidR="001528B5">
        <w:t>projecten is het verplicht een voorkeurbeslissing te nemen</w:t>
      </w:r>
      <w:r w:rsidR="009E073C">
        <w:rPr>
          <w:rStyle w:val="Voetnootmarkering"/>
        </w:rPr>
        <w:footnoteReference w:id="90"/>
      </w:r>
      <w:r w:rsidR="001528B5">
        <w:t xml:space="preserve">, voor andere projecten </w:t>
      </w:r>
      <w:r w:rsidR="00FE4E28">
        <w:t>kan</w:t>
      </w:r>
      <w:r w:rsidR="00EA66EE" w:rsidRPr="00EA66EE">
        <w:t xml:space="preserve"> het bevoegd gezag </w:t>
      </w:r>
      <w:r w:rsidR="00FE4E28">
        <w:t xml:space="preserve">zelf bepalen of het </w:t>
      </w:r>
      <w:r w:rsidR="00EA66EE" w:rsidRPr="00EA66EE">
        <w:t>al dan niet een voorkeursbeslissing</w:t>
      </w:r>
      <w:r w:rsidR="00FE4E28">
        <w:t xml:space="preserve"> neemt</w:t>
      </w:r>
      <w:r w:rsidR="00A56CBF">
        <w:t xml:space="preserve">. </w:t>
      </w:r>
      <w:r w:rsidR="00FF37AA" w:rsidRPr="007C4B78">
        <w:t>De voorkeursbeslissing houdt in</w:t>
      </w:r>
      <w:r w:rsidR="00FF37AA">
        <w:rPr>
          <w:rStyle w:val="Voetnootmarkering"/>
        </w:rPr>
        <w:footnoteReference w:id="91"/>
      </w:r>
      <w:r w:rsidR="00FF37AA" w:rsidRPr="007C4B78">
        <w:t>:</w:t>
      </w:r>
    </w:p>
    <w:p w14:paraId="4FDCDFB8" w14:textId="217F16EC" w:rsidR="00FF37AA" w:rsidRDefault="00FF37AA" w:rsidP="00137EBB">
      <w:pPr>
        <w:pStyle w:val="Opsommingnummers1"/>
        <w:numPr>
          <w:ilvl w:val="0"/>
          <w:numId w:val="91"/>
        </w:numPr>
      </w:pPr>
      <w:r w:rsidRPr="007C4B78">
        <w:t>het uitvoeren van een project</w:t>
      </w:r>
      <w:r>
        <w:t>;</w:t>
      </w:r>
    </w:p>
    <w:p w14:paraId="5230E5E7" w14:textId="3A77BCBD" w:rsidR="004C5663" w:rsidRDefault="00FF37AA" w:rsidP="00137EBB">
      <w:pPr>
        <w:pStyle w:val="Opsommingnummers1"/>
      </w:pPr>
      <w:r w:rsidRPr="007C4B78">
        <w:t>een oplossing zonder project</w:t>
      </w:r>
      <w:r>
        <w:t>;</w:t>
      </w:r>
    </w:p>
    <w:p w14:paraId="1F007D58" w14:textId="38F0BA11" w:rsidR="00FF37AA" w:rsidRDefault="00FF37AA" w:rsidP="00137EBB">
      <w:pPr>
        <w:pStyle w:val="Opsommingnummers1"/>
      </w:pPr>
      <w:r w:rsidRPr="007C4B78">
        <w:lastRenderedPageBreak/>
        <w:t>een combinatie van de onderdelen a of b met de uitvoering van andere projecten</w:t>
      </w:r>
      <w:r>
        <w:t>; of</w:t>
      </w:r>
    </w:p>
    <w:p w14:paraId="70D55582" w14:textId="77777777" w:rsidR="00FF37AA" w:rsidRDefault="00FF37AA" w:rsidP="00137EBB">
      <w:pPr>
        <w:pStyle w:val="Opsommingnummers1"/>
      </w:pPr>
      <w:r w:rsidRPr="007C4B78">
        <w:t>het niet uitwerken van een oplossing.</w:t>
      </w:r>
    </w:p>
    <w:p w14:paraId="15167966" w14:textId="1E9071AF" w:rsidR="004C5663" w:rsidRDefault="00FF37AA" w:rsidP="00FF37AA">
      <w:r>
        <w:t>In de voorkeursbeslissing vermeldt het bevoegd gezag in ieder geval welke oplossing de voorkeur van het bevoegd gezag heeft en geeft het aan hoe burgers, bedrijven, maatschappelijke organisaties en bestuursorganen zijn betrokken en wat de resultaten zijn van de uitgevoerde verkenning. Daarbij moet in ieder geval worden ingegaan op de door derden voorgedragen mogelijke oplossingen en de daarover door deskundigen uitgebrachte adviezen</w:t>
      </w:r>
      <w:r>
        <w:rPr>
          <w:rStyle w:val="Voetnootmarkering"/>
        </w:rPr>
        <w:footnoteReference w:id="92"/>
      </w:r>
      <w:r w:rsidR="003852BE">
        <w:t>.</w:t>
      </w:r>
    </w:p>
    <w:p w14:paraId="0C9D1B29" w14:textId="1A3BE7DE" w:rsidR="00854FA2" w:rsidRDefault="00854FA2" w:rsidP="00503078"/>
    <w:p w14:paraId="0765B035" w14:textId="266603F1" w:rsidR="004C5663" w:rsidRDefault="002132FA" w:rsidP="00503078">
      <w:r w:rsidRPr="002132FA">
        <w:t xml:space="preserve">Op de voorbereiding van een </w:t>
      </w:r>
      <w:r w:rsidR="00B54022">
        <w:t xml:space="preserve">voorkeursbeslissing </w:t>
      </w:r>
      <w:r w:rsidR="00E6799A">
        <w:t xml:space="preserve">is </w:t>
      </w:r>
      <w:r w:rsidR="0041143B">
        <w:t xml:space="preserve">afdeling 3.4 </w:t>
      </w:r>
      <w:r w:rsidR="009B287D">
        <w:t>Awb</w:t>
      </w:r>
      <w:r w:rsidR="00E6799A">
        <w:t xml:space="preserve"> </w:t>
      </w:r>
      <w:r w:rsidR="00E6799A" w:rsidRPr="00E6799A">
        <w:t>van toepassing</w:t>
      </w:r>
      <w:r w:rsidR="00F709DC">
        <w:rPr>
          <w:rStyle w:val="Voetnootmarkering"/>
        </w:rPr>
        <w:footnoteReference w:id="93"/>
      </w:r>
      <w:r w:rsidR="0095178A">
        <w:t>.</w:t>
      </w:r>
      <w:r w:rsidR="00C63221">
        <w:t xml:space="preserve"> </w:t>
      </w:r>
      <w:r w:rsidR="00D2020B">
        <w:t>W</w:t>
      </w:r>
      <w:r w:rsidR="009C5377" w:rsidRPr="009C5377">
        <w:t>aterschap</w:t>
      </w:r>
      <w:r w:rsidR="0086629F">
        <w:t>, provincie,</w:t>
      </w:r>
      <w:r w:rsidR="0086629F" w:rsidRPr="00C53712">
        <w:t xml:space="preserve"> </w:t>
      </w:r>
      <w:r w:rsidR="0086629F">
        <w:t xml:space="preserve">respectievelijk minister moet </w:t>
      </w:r>
      <w:r w:rsidR="0086629F" w:rsidRPr="000D6DD4">
        <w:t xml:space="preserve">het ontwerp van </w:t>
      </w:r>
      <w:r w:rsidR="00D2020B" w:rsidRPr="00D2020B">
        <w:t>de voorkeursbeslissing</w:t>
      </w:r>
      <w:r w:rsidR="0086629F" w:rsidRPr="000D6DD4">
        <w:t>, met de daarop betrekking hebbende stukken die redelijkerwijs nodig zijn voor een beoordeling van het ontwerp, ter inzage</w:t>
      </w:r>
      <w:r w:rsidR="0086629F">
        <w:t xml:space="preserve"> leggen</w:t>
      </w:r>
      <w:r w:rsidR="0086629F">
        <w:rPr>
          <w:rStyle w:val="Voetnootmarkering"/>
        </w:rPr>
        <w:footnoteReference w:id="94"/>
      </w:r>
      <w:r w:rsidR="0086629F">
        <w:t xml:space="preserve">. </w:t>
      </w:r>
      <w:r w:rsidR="00FF1B40">
        <w:t xml:space="preserve">De terinzagelegging geschiedt zowel op elektronische wijze als op een door </w:t>
      </w:r>
      <w:r w:rsidR="00FF1B40" w:rsidRPr="00CB765D">
        <w:t>waterschap, provincie of Rijk</w:t>
      </w:r>
      <w:r w:rsidR="00FF1B40">
        <w:t xml:space="preserve"> aan te wijzen locatie</w:t>
      </w:r>
      <w:r w:rsidR="00FF1B40">
        <w:rPr>
          <w:rStyle w:val="Voetnootmarkering"/>
        </w:rPr>
        <w:footnoteReference w:id="95"/>
      </w:r>
      <w:r w:rsidR="00FF1B40">
        <w:t xml:space="preserve">. </w:t>
      </w:r>
      <w:r w:rsidR="005F6A86">
        <w:t xml:space="preserve">De terinzagelegging vindt niet plaats in </w:t>
      </w:r>
      <w:r w:rsidR="00F0063E" w:rsidRPr="00F0063E">
        <w:t xml:space="preserve">waterschapsblad, provinciaal blad </w:t>
      </w:r>
      <w:r w:rsidR="00F0063E">
        <w:t xml:space="preserve">of </w:t>
      </w:r>
      <w:r w:rsidR="00F0063E" w:rsidRPr="00F0063E">
        <w:t>Staatscourant</w:t>
      </w:r>
      <w:r w:rsidR="00F0063E">
        <w:rPr>
          <w:rStyle w:val="Voetnootmarkering"/>
        </w:rPr>
        <w:footnoteReference w:id="96"/>
      </w:r>
      <w:r w:rsidR="005A7404">
        <w:t xml:space="preserve">. </w:t>
      </w:r>
      <w:r w:rsidR="00824A18">
        <w:t>Dit betekent dat h</w:t>
      </w:r>
      <w:r w:rsidR="00313CF3">
        <w:t xml:space="preserve">et bestuursorgaan moet zorgen voor </w:t>
      </w:r>
      <w:r w:rsidR="00824A18">
        <w:t xml:space="preserve">de elektronische </w:t>
      </w:r>
      <w:r w:rsidR="00313CF3">
        <w:t>terinzagelegging</w:t>
      </w:r>
      <w:r w:rsidR="00003F91">
        <w:t xml:space="preserve"> van </w:t>
      </w:r>
      <w:r w:rsidR="00003F91" w:rsidRPr="00003F91">
        <w:t xml:space="preserve">het ontwerp van de voorkeursbeslissing </w:t>
      </w:r>
      <w:r w:rsidR="00003F91">
        <w:t xml:space="preserve">en </w:t>
      </w:r>
      <w:r w:rsidR="00003F91" w:rsidRPr="00003F91">
        <w:t>de daarop betrekking hebbende stukken</w:t>
      </w:r>
      <w:r w:rsidR="008F6DCD">
        <w:t xml:space="preserve">, bij voorbeeld op de eigen website of op een projectwebsite, en voor de terinzagelegging </w:t>
      </w:r>
      <w:r w:rsidR="00D310FA">
        <w:t xml:space="preserve">van ontwerp en bijbehorende stukken </w:t>
      </w:r>
      <w:r w:rsidR="008F6DCD">
        <w:t>op een fysieke locatie</w:t>
      </w:r>
      <w:r w:rsidR="00157825">
        <w:t>.</w:t>
      </w:r>
      <w:r w:rsidR="00812225">
        <w:t xml:space="preserve"> </w:t>
      </w:r>
      <w:r w:rsidR="00812225" w:rsidRPr="004E427C">
        <w:t xml:space="preserve">Voorafgaand aan de terinzagelegging moet waterschap, provincie of Rijk kennis geven </w:t>
      </w:r>
      <w:r w:rsidR="00812225" w:rsidRPr="00DB5A01">
        <w:t>van het ontwerp</w:t>
      </w:r>
      <w:r w:rsidR="00812225">
        <w:rPr>
          <w:rStyle w:val="Voetnootmarkering"/>
        </w:rPr>
        <w:footnoteReference w:id="97"/>
      </w:r>
      <w:r w:rsidR="00812225">
        <w:t xml:space="preserve"> </w:t>
      </w:r>
      <w:r w:rsidR="00812225" w:rsidRPr="00676BBD">
        <w:t xml:space="preserve">in </w:t>
      </w:r>
      <w:r w:rsidR="00812225" w:rsidRPr="008A3A16">
        <w:t>het</w:t>
      </w:r>
      <w:r w:rsidR="00812225">
        <w:t xml:space="preserve"> waterschapsblad, </w:t>
      </w:r>
      <w:r w:rsidR="00812225" w:rsidRPr="008A3A16">
        <w:t>het provinciaal blad dan wel de Staatscourant</w:t>
      </w:r>
      <w:r w:rsidR="00812225">
        <w:rPr>
          <w:rStyle w:val="Voetnootmarkering"/>
        </w:rPr>
        <w:footnoteReference w:id="98"/>
      </w:r>
      <w:r w:rsidR="00812225" w:rsidRPr="007F5A8E">
        <w:t>.</w:t>
      </w:r>
    </w:p>
    <w:p w14:paraId="2D8188E3" w14:textId="632598EC" w:rsidR="00101715" w:rsidRDefault="00722D91" w:rsidP="00722D91">
      <w:r>
        <w:t xml:space="preserve">Na het verwerken van de zienswijzen neemt het dagelijks bestuur van het waterschap, GS dan wel de minister de definitieve voorkeursbeslissing. Nadat het bestuursorgaan de </w:t>
      </w:r>
      <w:r w:rsidRPr="0006484E">
        <w:t xml:space="preserve">voorkeursbeslissing </w:t>
      </w:r>
      <w:r>
        <w:t xml:space="preserve">heeft genomen, maakt het </w:t>
      </w:r>
      <w:r w:rsidRPr="00375C55">
        <w:t xml:space="preserve">de voorkeursbeslissing </w:t>
      </w:r>
      <w:r w:rsidRPr="002B0CB7">
        <w:t xml:space="preserve">bekend </w:t>
      </w:r>
      <w:r>
        <w:t xml:space="preserve">door plaatsing van </w:t>
      </w:r>
      <w:r w:rsidRPr="00BB0B3E">
        <w:t xml:space="preserve">de volledige inhoud van de voorkeursbeslissing </w:t>
      </w:r>
      <w:r w:rsidRPr="002B0CB7">
        <w:t>in waterschapsblad, provinciaal blad of Staatscourant</w:t>
      </w:r>
      <w:r>
        <w:rPr>
          <w:rStyle w:val="Voetnootmarkering"/>
        </w:rPr>
        <w:footnoteReference w:id="99"/>
      </w:r>
      <w:r>
        <w:t>. D</w:t>
      </w:r>
      <w:r w:rsidRPr="00323A1F">
        <w:t>e voorkeursbeslissing</w:t>
      </w:r>
      <w:r>
        <w:t xml:space="preserve"> is een besluit dat </w:t>
      </w:r>
      <w:r w:rsidRPr="009B0558">
        <w:t>niet tot een of meer belanghebbenden</w:t>
      </w:r>
      <w:r>
        <w:t xml:space="preserve"> is gericht en is voorbereid met toepassing </w:t>
      </w:r>
      <w:r w:rsidRPr="009B0558">
        <w:t>van afdeling 3.4 Awb</w:t>
      </w:r>
      <w:r w:rsidRPr="00323A1F">
        <w:t>.</w:t>
      </w:r>
      <w:r>
        <w:t xml:space="preserve"> Daarom moet</w:t>
      </w:r>
      <w:r w:rsidR="00A825DB">
        <w:t xml:space="preserve">en </w:t>
      </w:r>
      <w:r w:rsidR="00A825DB" w:rsidRPr="00A825DB">
        <w:t>de op de zaak betrekking hebbende stukken</w:t>
      </w:r>
      <w:r w:rsidR="00387148">
        <w:t xml:space="preserve"> ter inzage worden gelegd</w:t>
      </w:r>
      <w:r w:rsidR="00387148">
        <w:rPr>
          <w:rStyle w:val="Voetnootmarkering"/>
        </w:rPr>
        <w:footnoteReference w:id="100"/>
      </w:r>
      <w:r w:rsidR="00387148">
        <w:t xml:space="preserve"> en moet</w:t>
      </w:r>
      <w:r>
        <w:t xml:space="preserve"> </w:t>
      </w:r>
      <w:r w:rsidRPr="00C0058C">
        <w:t>gelijktijdig met de bekendmaking van het besluit kennis</w:t>
      </w:r>
      <w:r>
        <w:t xml:space="preserve"> </w:t>
      </w:r>
      <w:r w:rsidRPr="00C0058C">
        <w:t>worden gegeven van de terinzagelegging van d</w:t>
      </w:r>
      <w:r w:rsidR="00387148">
        <w:t>i</w:t>
      </w:r>
      <w:r w:rsidRPr="00C0058C">
        <w:t>e stukken</w:t>
      </w:r>
      <w:r>
        <w:rPr>
          <w:rStyle w:val="Voetnootmarkering"/>
        </w:rPr>
        <w:footnoteReference w:id="101"/>
      </w:r>
      <w:r>
        <w:t xml:space="preserve">. </w:t>
      </w:r>
      <w:r w:rsidR="00D310FA">
        <w:t xml:space="preserve">Ook hiervoor geldt </w:t>
      </w:r>
      <w:r w:rsidR="009C487A">
        <w:t xml:space="preserve">dat </w:t>
      </w:r>
      <w:r w:rsidR="009C487A" w:rsidRPr="009C487A">
        <w:t xml:space="preserve">terinzagelegging zowel op elektronische wijze als op een door waterschap, provincie of Rijk aan te wijzen locatie </w:t>
      </w:r>
      <w:r w:rsidR="009C487A">
        <w:t xml:space="preserve">moet geschieden en dat de </w:t>
      </w:r>
      <w:r w:rsidR="009C487A" w:rsidRPr="009C487A">
        <w:t xml:space="preserve">terinzagelegging niet </w:t>
      </w:r>
      <w:r w:rsidR="009C487A">
        <w:t xml:space="preserve">mag </w:t>
      </w:r>
      <w:r w:rsidR="009C487A" w:rsidRPr="009C487A">
        <w:t>plaats</w:t>
      </w:r>
      <w:r w:rsidR="009C487A">
        <w:t>vinden</w:t>
      </w:r>
      <w:r w:rsidR="009C487A" w:rsidRPr="009C487A">
        <w:t xml:space="preserve"> in waterschapsblad, provinciaal blad of Staatscourant</w:t>
      </w:r>
      <w:r w:rsidR="00A568FA">
        <w:t>.</w:t>
      </w:r>
      <w:r w:rsidR="00586D47">
        <w:t xml:space="preserve"> Uitgangspunt is </w:t>
      </w:r>
      <w:r w:rsidR="00A967A5">
        <w:t xml:space="preserve">dat </w:t>
      </w:r>
      <w:r w:rsidR="00D059A2">
        <w:t xml:space="preserve">de </w:t>
      </w:r>
      <w:r w:rsidR="00D059A2" w:rsidRPr="00D059A2">
        <w:t>op de zaak betrekking hebbende stukken</w:t>
      </w:r>
      <w:r w:rsidR="00D059A2">
        <w:t xml:space="preserve"> gedurende zes weken ter inzage </w:t>
      </w:r>
      <w:r w:rsidR="008D56BA">
        <w:t xml:space="preserve">liggen </w:t>
      </w:r>
      <w:r w:rsidR="00205694">
        <w:t xml:space="preserve">en dat die termijn aanvangt met ingang van de dag </w:t>
      </w:r>
      <w:r w:rsidR="00205694">
        <w:lastRenderedPageBreak/>
        <w:t>dat de stukken ter inzage zijn gelegd</w:t>
      </w:r>
      <w:r w:rsidR="00205694">
        <w:rPr>
          <w:rStyle w:val="Voetnootmarkering"/>
        </w:rPr>
        <w:footnoteReference w:id="102"/>
      </w:r>
      <w:r w:rsidR="00205694">
        <w:t>.</w:t>
      </w:r>
      <w:r w:rsidR="008E0BED">
        <w:t xml:space="preserve"> </w:t>
      </w:r>
      <w:r>
        <w:t>T</w:t>
      </w:r>
      <w:r w:rsidRPr="0089790A">
        <w:t xml:space="preserve">egen </w:t>
      </w:r>
      <w:r>
        <w:t xml:space="preserve">de </w:t>
      </w:r>
      <w:r w:rsidRPr="0089790A">
        <w:t xml:space="preserve">voorkeursbeslissing </w:t>
      </w:r>
      <w:r>
        <w:t>staat geen beroep open</w:t>
      </w:r>
      <w:r>
        <w:rPr>
          <w:rStyle w:val="Voetnootmarkering"/>
        </w:rPr>
        <w:footnoteReference w:id="103"/>
      </w:r>
      <w:r>
        <w:t>.</w:t>
      </w:r>
    </w:p>
    <w:p w14:paraId="00BC30EE" w14:textId="2E2B9FA7" w:rsidR="008E0BED" w:rsidRDefault="00C20802" w:rsidP="00722D91">
      <w:r>
        <w:t>O</w:t>
      </w:r>
      <w:r w:rsidRPr="00C20802">
        <w:t xml:space="preserve">p de voorkeursbeslissing </w:t>
      </w:r>
      <w:r w:rsidR="00CB3665">
        <w:t xml:space="preserve">zelf </w:t>
      </w:r>
      <w:r w:rsidRPr="00C20802">
        <w:t xml:space="preserve">wordt </w:t>
      </w:r>
      <w:r>
        <w:t>d</w:t>
      </w:r>
      <w:r w:rsidR="008E0BED" w:rsidRPr="008E0BED">
        <w:t>e STOP/TPOD-standaard niet toegepast.</w:t>
      </w:r>
    </w:p>
    <w:p w14:paraId="14EAF9DC" w14:textId="19DF272B" w:rsidR="00BD6BE3" w:rsidRDefault="00923AC0" w:rsidP="00CE5A1A">
      <w:pPr>
        <w:pStyle w:val="Kop6"/>
      </w:pPr>
      <w:bookmarkStart w:id="310" w:name="_Ref_4d9696b684f9ebf2afa35f57e3be4953_1"/>
      <w:r>
        <w:t>Aanlevering kennisgeving</w:t>
      </w:r>
      <w:bookmarkEnd w:id="310"/>
    </w:p>
    <w:p w14:paraId="20E91508" w14:textId="32B20553" w:rsidR="004C5663" w:rsidRDefault="008D6F83" w:rsidP="008D6F83">
      <w:r>
        <w:t xml:space="preserve">Het bevoegd gezag kan zelf bepalen of het de </w:t>
      </w:r>
      <w:r w:rsidR="006A7460">
        <w:t xml:space="preserve">in de vorige paragraaf genoemde </w:t>
      </w:r>
      <w:r>
        <w:t>kennisgeving</w:t>
      </w:r>
      <w:r w:rsidR="006A7460">
        <w:t>en</w:t>
      </w:r>
      <w:r>
        <w:t xml:space="preserve"> </w:t>
      </w:r>
      <w:r w:rsidR="004060BE">
        <w:t xml:space="preserve">over </w:t>
      </w:r>
      <w:r w:rsidR="001A22E8">
        <w:t xml:space="preserve">de voorkeursbeslissing </w:t>
      </w:r>
      <w:r>
        <w:t>conform STOP opstelt en aan de LVBB aanlevert, of dat het daarvoor de ‘oude’ methode gebruikt.</w:t>
      </w:r>
    </w:p>
    <w:p w14:paraId="74D8D97C" w14:textId="28D89CE3" w:rsidR="008D6F83" w:rsidRDefault="008D6F83" w:rsidP="008D6F83">
      <w:r>
        <w:t>Voor waterschap en provincie bestaat de ‘oude’ methode uit het aanleveren van de kennisgeving door middel van de applicatie DROP (Decentrale Regelgeving en Officiële Publicaties). Het Rijk levert volgens de ‘oude’ methode de tekst van de kennisgeving aan Sdu aan. Sdu zet de tekst om in het juiste formaat en levert die door aan KOOP voor publicatie in de Staatscourant.</w:t>
      </w:r>
    </w:p>
    <w:p w14:paraId="5D6D2808" w14:textId="2366BBD5" w:rsidR="00101715" w:rsidRDefault="00101715" w:rsidP="00101715">
      <w:r>
        <w:t xml:space="preserve">Opstellen van deze kennisgeving conform STOP en aanleveren aan de LVBB is mogelijk, maar vraagt wel een beperkte workaround. STOP kent namelijk nog geen algemene kennisgeving. Daarom moet gebruik gemaakt worden van de kennisgeving voor het voorgenomen besluit. Dat geeft metadata die niet helemaal </w:t>
      </w:r>
      <w:r w:rsidR="00770929">
        <w:t>passend</w:t>
      </w:r>
      <w:r>
        <w:t xml:space="preserve"> zijn.</w:t>
      </w:r>
    </w:p>
    <w:p w14:paraId="5324B69B" w14:textId="728313A5" w:rsidR="004C5663" w:rsidRDefault="00101715">
      <w:r>
        <w:t>Wanneer hiervoor gekozen wordt, moet worden voldaan aan</w:t>
      </w:r>
      <w:r w:rsidR="001C133C">
        <w:t xml:space="preserve"> de </w:t>
      </w:r>
      <w:r w:rsidR="00674208">
        <w:t xml:space="preserve">specificaties voor de vormgeving van de kennisgeving conform STOP </w:t>
      </w:r>
      <w:r w:rsidR="001C133C">
        <w:t xml:space="preserve">die </w:t>
      </w:r>
      <w:r w:rsidR="00674208">
        <w:t xml:space="preserve">in paragraaf </w:t>
      </w:r>
      <w:r w:rsidR="00674208">
        <w:rPr>
          <w:rStyle w:val="Verwijzing"/>
        </w:rPr>
        <w:fldChar w:fldCharType="begin" w:fldLock="1"/>
      </w:r>
      <w:r w:rsidR="00674208">
        <w:instrText xml:space="preserve"> REF _Ref_8988ecbafe6d241551cf524b6f1bd0ea_1 \n \h </w:instrText>
      </w:r>
      <w:r w:rsidR="00674208">
        <w:rPr>
          <w:rStyle w:val="Verwijzing"/>
        </w:rPr>
      </w:r>
      <w:r w:rsidR="00674208">
        <w:rPr>
          <w:rStyle w:val="Verwijzing"/>
        </w:rPr>
        <w:fldChar w:fldCharType="separate"/>
      </w:r>
      <w:r w:rsidR="00DF3BF8" w:rsidRPr="00DF3BF8">
        <w:rPr>
          <w:rStyle w:val="Verwijzing"/>
        </w:rPr>
        <w:t>10.3</w:t>
      </w:r>
      <w:r w:rsidR="00674208">
        <w:rPr>
          <w:rStyle w:val="Verwijzing"/>
        </w:rPr>
        <w:fldChar w:fldCharType="end"/>
      </w:r>
      <w:r w:rsidR="0062154B">
        <w:t xml:space="preserve"> staan.</w:t>
      </w:r>
      <w:r w:rsidR="00674208">
        <w:t xml:space="preserve"> Bij de kennisgeving moeten Kennisgevingmetadata worden aangeleverd</w:t>
      </w:r>
      <w:r w:rsidR="006F4D8F">
        <w:t>,</w:t>
      </w:r>
      <w:r w:rsidR="000E74D3">
        <w:t xml:space="preserve"> </w:t>
      </w:r>
      <w:r w:rsidR="006F4D8F">
        <w:t>z</w:t>
      </w:r>
      <w:r w:rsidR="000E74D3">
        <w:t xml:space="preserve">ie daarvoor paragraaf </w:t>
      </w:r>
      <w:r w:rsidR="000E74D3">
        <w:fldChar w:fldCharType="begin" w:fldLock="1"/>
      </w:r>
      <w:r w:rsidR="000E74D3">
        <w:instrText xml:space="preserve"> REF _Ref_4d9696b684f9ebf2afa35f57e3be4953_2 \n \h </w:instrText>
      </w:r>
      <w:r w:rsidR="000E74D3">
        <w:fldChar w:fldCharType="separate"/>
      </w:r>
      <w:r w:rsidR="00DF3BF8" w:rsidRPr="00DF3BF8">
        <w:rPr>
          <w:rStyle w:val="Verwijzing"/>
        </w:rPr>
        <w:t>10.6.1.4.3</w:t>
      </w:r>
      <w:r w:rsidR="000E74D3">
        <w:fldChar w:fldCharType="end"/>
      </w:r>
      <w:r w:rsidR="000E74D3">
        <w:t>.</w:t>
      </w:r>
      <w:r w:rsidR="00394DE2">
        <w:t xml:space="preserve"> </w:t>
      </w:r>
      <w:r w:rsidR="00394DE2" w:rsidRPr="00394DE2">
        <w:t>Er moet ook een publicatieopdracht aan de LVBB worden aangeleverd, waarin wordt aangegeven welk soort publicatie wordt aangeleverd en op welke datum die publicatie gepubliceerd moet worden.</w:t>
      </w:r>
    </w:p>
    <w:p w14:paraId="2D4EB1F9" w14:textId="427E44E1" w:rsidR="006C2094" w:rsidRDefault="007B5D09">
      <w:r w:rsidRPr="007B5D09">
        <w:t>NB</w:t>
      </w:r>
      <w:r w:rsidR="00CA2942">
        <w:t>1</w:t>
      </w:r>
      <w:r w:rsidRPr="007B5D09">
        <w:t>: bij dit type kennisgeving wordt geen module Procedureverloop aangeleverd.</w:t>
      </w:r>
    </w:p>
    <w:p w14:paraId="4E887D36" w14:textId="2FF0A0AE" w:rsidR="00490783" w:rsidRDefault="00490783">
      <w:r w:rsidRPr="00490783">
        <w:t>NB</w:t>
      </w:r>
      <w:r>
        <w:t>2</w:t>
      </w:r>
      <w:r w:rsidRPr="00490783">
        <w:t>: de kennisgeving komt</w:t>
      </w:r>
      <w:r>
        <w:t xml:space="preserve"> (ongeacht of deze via de LVBB of DROP wordt aangeleverd)</w:t>
      </w:r>
      <w:r w:rsidRPr="00490783">
        <w:t xml:space="preserve"> wel in waterschapsblad, provinciaal blad of Staatscourant, maar wordt niet in DSO-LV getoond.</w:t>
      </w:r>
    </w:p>
    <w:p w14:paraId="6AC232DD" w14:textId="77777777" w:rsidR="00ED2102" w:rsidRDefault="00ED2102" w:rsidP="00ED2102">
      <w:pPr>
        <w:pStyle w:val="Kop6"/>
      </w:pPr>
      <w:bookmarkStart w:id="311" w:name="_Ref_4d9696b684f9ebf2afa35f57e3be4953_2"/>
      <w:r>
        <w:t>Kennisgevingmetadata</w:t>
      </w:r>
      <w:bookmarkEnd w:id="311"/>
    </w:p>
    <w:p w14:paraId="372627F8" w14:textId="36F382F2" w:rsidR="00ED2102" w:rsidRDefault="00ED2102" w:rsidP="00ED2102">
      <w:r w:rsidRPr="00103E4B">
        <w:t xml:space="preserve">De Kennisgevingmetadata leggen vast welke organisatie verantwoordelijk is voor de kennisgeving en bevatten gegevens om de kennisgeving goed vindbaar te maken. Hierna zijn de Kennisgevingmetadata beschreven die </w:t>
      </w:r>
      <w:r w:rsidR="003E69AA" w:rsidRPr="003E69AA">
        <w:t xml:space="preserve">relevant zijn </w:t>
      </w:r>
      <w:r w:rsidRPr="00103E4B">
        <w:t xml:space="preserve">voor </w:t>
      </w:r>
      <w:r w:rsidR="002F5A08">
        <w:t>bei</w:t>
      </w:r>
      <w:r w:rsidRPr="00103E4B">
        <w:t>de kennisgeving</w:t>
      </w:r>
      <w:r w:rsidR="002F5A08">
        <w:t>en</w:t>
      </w:r>
      <w:r w:rsidRPr="00103E4B">
        <w:t xml:space="preserve"> </w:t>
      </w:r>
      <w:r w:rsidR="00F06AF0">
        <w:t>die in verband met de voorkeursbeslissing gedaan moeten worden</w:t>
      </w:r>
      <w:r w:rsidRPr="00103E4B">
        <w:t xml:space="preserve">. Aangegeven is of het gegeven verplicht of optioneel is en hoe vaak het moet c.q. kan voorkomen. Daarnaast is bij de meeste gegevens een toelichting en/of advies gegeven: hoe werkt het, wat voor effect heeft het </w:t>
      </w:r>
      <w:r w:rsidR="003228E7">
        <w:t>en soms ook wat het beste ingevuld kan worden of welke waarde gekozen moet worden dan wel wordt aanbevolen</w:t>
      </w:r>
      <w:r w:rsidRPr="00103E4B">
        <w:t>.</w:t>
      </w:r>
      <w:r w:rsidR="00024B41">
        <w:t xml:space="preserve"> </w:t>
      </w:r>
      <w:r w:rsidR="00024B41" w:rsidRPr="00024B41">
        <w:t>Er is geen vaste, voorgeschreven volgorde voor de Kennisgevingmetadata.</w:t>
      </w:r>
    </w:p>
    <w:p w14:paraId="575111A6" w14:textId="77777777" w:rsidR="00024B41" w:rsidRDefault="00024B41" w:rsidP="00ED2102"/>
    <w:p w14:paraId="4DD82D35" w14:textId="1BA00DA5" w:rsidR="00ED2102" w:rsidRDefault="00ED2102" w:rsidP="00ED2102">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de </w:t>
      </w:r>
      <w:r>
        <w:t>kennisgeving, te kiezen uit de STOP-waardelijst voor</w:t>
      </w:r>
      <w:r w:rsidRPr="002C402F">
        <w:t xml:space="preserve"> waterschap</w:t>
      </w:r>
      <w:r>
        <w:t xml:space="preserve">, </w:t>
      </w:r>
      <w:r w:rsidRPr="00245B9C">
        <w:t>provincie</w:t>
      </w:r>
      <w:r w:rsidRPr="002C402F">
        <w:t xml:space="preserve"> of ministerie</w:t>
      </w:r>
      <w:r>
        <w:t xml:space="preserve">. </w:t>
      </w:r>
      <w:r w:rsidR="00803BC5">
        <w:t>Verplicht gegeven. Komt 1 keer voor.</w:t>
      </w:r>
      <w:r>
        <w:br/>
      </w:r>
      <w:r w:rsidRPr="00073B3E">
        <w:rPr>
          <w:u w:val="single"/>
        </w:rPr>
        <w:t>Toelichting/advies</w:t>
      </w:r>
      <w:r w:rsidRPr="004D6943">
        <w:t xml:space="preserve">: </w:t>
      </w:r>
      <w:r w:rsidRPr="00E43DC8">
        <w:t xml:space="preserve">uit de waardelijst </w:t>
      </w:r>
      <w:r w:rsidRPr="00D90DDA">
        <w:t xml:space="preserve">waterschap, provincie of ministerie </w:t>
      </w:r>
      <w:r w:rsidRPr="00E43DC8">
        <w:t xml:space="preserve">wordt de </w:t>
      </w:r>
      <w:r w:rsidRPr="00E43DC8">
        <w:lastRenderedPageBreak/>
        <w:t xml:space="preserve">identificatiecode van </w:t>
      </w:r>
      <w:r>
        <w:t>het</w:t>
      </w:r>
      <w:r w:rsidRPr="00E43DC8">
        <w:t xml:space="preserve"> betreffende </w:t>
      </w:r>
      <w:r w:rsidRPr="00D90DDA">
        <w:t xml:space="preserve">waterschap, provincie of ministerie </w:t>
      </w:r>
      <w:r w:rsidRPr="00E43DC8">
        <w:t xml:space="preserve">gekozen. </w:t>
      </w:r>
      <w:r>
        <w:t>Daardoor wordt in de voorzieningen de naam van waterschap, provincie of ministerie getoond.</w:t>
      </w:r>
      <w:r w:rsidRPr="00E43DC8">
        <w:t xml:space="preserve"> </w:t>
      </w:r>
      <w:r>
        <w:t>Dit gegeven zal bij een bevoegd gezag eenmalig in de software worden ingesteld</w:t>
      </w:r>
      <w:r w:rsidRPr="004D6943">
        <w:t>.</w:t>
      </w:r>
    </w:p>
    <w:p w14:paraId="794B3B78" w14:textId="605FD8BD" w:rsidR="00ED2102" w:rsidRDefault="00ED2102" w:rsidP="00ED2102">
      <w:pPr>
        <w:pStyle w:val="Opsommingtekens1"/>
      </w:pPr>
      <w:r w:rsidRPr="00073B3E">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 xml:space="preserve">kennisgeving, </w:t>
      </w:r>
      <w:r w:rsidRPr="008D0D34">
        <w:t xml:space="preserve">te kiezen uit de </w:t>
      </w:r>
      <w:r>
        <w:t>STOP-waardelijst</w:t>
      </w:r>
      <w:r w:rsidRPr="008D0D34">
        <w:t xml:space="preserve"> voor </w:t>
      </w:r>
      <w:r w:rsidRPr="00DD77EE">
        <w:t>waterschap, provincie of ministerie</w:t>
      </w:r>
      <w:r w:rsidRPr="008D0D34">
        <w:t>.</w:t>
      </w:r>
      <w:r>
        <w:t xml:space="preserve"> </w:t>
      </w:r>
      <w:r w:rsidR="00803BC5">
        <w:t>Verplicht gegeven. Komt 1 keer voor.</w:t>
      </w:r>
      <w:r>
        <w:br/>
      </w:r>
      <w:r w:rsidRPr="00073B3E">
        <w:rPr>
          <w:u w:val="single"/>
        </w:rPr>
        <w:t>Toelichting/advies</w:t>
      </w:r>
      <w:r w:rsidRPr="004D6943">
        <w:t xml:space="preserve">: </w:t>
      </w:r>
      <w:r w:rsidRPr="00E43DC8">
        <w:t xml:space="preserve">uit de waardelijst </w:t>
      </w:r>
      <w:r w:rsidRPr="00DD77EE">
        <w:t xml:space="preserve">waterschap, provincie of ministerie </w:t>
      </w:r>
      <w:r w:rsidRPr="00E43DC8">
        <w:t xml:space="preserve">wordt de identificatiecode van </w:t>
      </w:r>
      <w:r>
        <w:t xml:space="preserve">het </w:t>
      </w:r>
      <w:r w:rsidRPr="00E43DC8">
        <w:t xml:space="preserve">betreffende </w:t>
      </w:r>
      <w:r w:rsidRPr="00DD77EE">
        <w:t xml:space="preserve">waterschap, provincie of ministerie </w:t>
      </w:r>
      <w:r w:rsidRPr="00E43DC8">
        <w:t xml:space="preserve">gekozen. </w:t>
      </w:r>
      <w:r>
        <w:t>Daardoor wordt in de voorzieningen de naam van waterschap, provincie of ministerie getoond.</w:t>
      </w:r>
      <w:r w:rsidRPr="00E43DC8">
        <w:t xml:space="preserve"> </w:t>
      </w:r>
      <w:r>
        <w:t>Dit gegeven zal bij een bevoegd gezag eenmalig in de software worden ingesteld</w:t>
      </w:r>
      <w:r w:rsidRPr="004D6943">
        <w:t>.</w:t>
      </w:r>
    </w:p>
    <w:p w14:paraId="5635560A" w14:textId="0B2BCB8D" w:rsidR="00ED2102" w:rsidRDefault="64012C22" w:rsidP="00ED2102">
      <w:pPr>
        <w:pStyle w:val="Opsommingtekens1"/>
      </w:pPr>
      <w:r w:rsidRPr="6CD5CFD6">
        <w:rPr>
          <w:i/>
          <w:iCs/>
        </w:rPr>
        <w:t>officieleTitel</w:t>
      </w:r>
      <w:r>
        <w:t xml:space="preserve">: de titel van de kennisgeving zoals die door het bevoegd gezag is vastgesteld; deze is gelijk aan de tekstuele weergave van het gehele RegelingOpschrift van de kennisgeving (zie daarvoor paragraaf </w:t>
      </w:r>
      <w:r w:rsidR="44173BAD" w:rsidRPr="6CD5CFD6">
        <w:rPr>
          <w:rStyle w:val="Verwijzing"/>
        </w:rPr>
        <w:fldChar w:fldCharType="begin" w:fldLock="1"/>
      </w:r>
      <w:r w:rsidR="44173BAD">
        <w:instrText xml:space="preserve"> REF _Ref_8988ecbafe6d241551cf524b6f1bd0ea_1 \n \h </w:instrText>
      </w:r>
      <w:r w:rsidR="44173BAD" w:rsidRPr="6CD5CFD6">
        <w:rPr>
          <w:rStyle w:val="Verwijzing"/>
        </w:rPr>
      </w:r>
      <w:r w:rsidR="44173BAD" w:rsidRPr="6CD5CFD6">
        <w:rPr>
          <w:rStyle w:val="Verwijzing"/>
        </w:rPr>
        <w:fldChar w:fldCharType="separate"/>
      </w:r>
      <w:r w:rsidR="00DF3BF8" w:rsidRPr="00DF3BF8">
        <w:rPr>
          <w:rStyle w:val="Verwijzing"/>
        </w:rPr>
        <w:t>10.3</w:t>
      </w:r>
      <w:r w:rsidR="44173BAD" w:rsidRPr="6CD5CFD6">
        <w:rPr>
          <w:rStyle w:val="Verwijzing"/>
        </w:rPr>
        <w:fldChar w:fldCharType="end"/>
      </w:r>
      <w:r>
        <w:t xml:space="preserve">). </w:t>
      </w:r>
      <w:r w:rsidR="3164A9EA">
        <w:t>Verplicht gegeven. Komt 1 keer voor.</w:t>
      </w:r>
      <w:r w:rsidR="44173BAD">
        <w:br/>
      </w:r>
      <w:r w:rsidRPr="6CD5CFD6">
        <w:rPr>
          <w:u w:val="single"/>
        </w:rPr>
        <w:t>Toelichting/advies</w:t>
      </w:r>
      <w:r>
        <w:t xml:space="preserve">: </w:t>
      </w:r>
      <w:r w:rsidR="003A59D6">
        <w:t>dit gegeven speelt een rol bij het vindbaar en herkenbaar maken van de kennisgeving op overheid.nl.</w:t>
      </w:r>
      <w:r>
        <w:t xml:space="preserve"> Daarom wordt geadviseerd om de kennisgeving een zo onderscheidend en herkenbaar mogelijke titel (en </w:t>
      </w:r>
      <w:r w:rsidR="51CA83C7">
        <w:t>RegelingOpschrift</w:t>
      </w:r>
      <w:r>
        <w:t xml:space="preserve">) te geven. Een voorbeeld van de officiële titel van deze kennisgeving is: ‘Kennisgeving </w:t>
      </w:r>
      <w:r w:rsidR="51793987">
        <w:t xml:space="preserve">terinzagelegging ontwerp-voorkeursbeslissing </w:t>
      </w:r>
      <w:r w:rsidR="1E99DEFD">
        <w:t xml:space="preserve">optimalisatie van </w:t>
      </w:r>
      <w:r>
        <w:t>het doorgaand verkeer rondom Gemeentestad’.</w:t>
      </w:r>
    </w:p>
    <w:p w14:paraId="5732A9C1" w14:textId="77777777" w:rsidR="00ED2102" w:rsidRDefault="00ED2102" w:rsidP="00ED2102">
      <w:pPr>
        <w:pStyle w:val="Opsommingtekens1"/>
      </w:pPr>
      <w:r w:rsidRPr="00073B3E">
        <w:rPr>
          <w:i/>
          <w:iCs/>
        </w:rPr>
        <w:t>onderwerp</w:t>
      </w:r>
      <w:r>
        <w:t>: e</w:t>
      </w:r>
      <w:r w:rsidRPr="003004FE">
        <w:t xml:space="preserve">en korte specificatie van de inhoud van </w:t>
      </w:r>
      <w:r>
        <w:t xml:space="preserve">de kennisgeving,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073B3E">
        <w:rPr>
          <w:u w:val="single"/>
        </w:rPr>
        <w:t>Toelichting/advies</w:t>
      </w:r>
      <w:r w:rsidRPr="002148C8">
        <w:t xml:space="preserve">: </w:t>
      </w:r>
      <w:r>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xml:space="preserve">. Daarom wordt geadviseerd om alle toepasselijke onderwerpen van de waardelijst toe te voegen. </w:t>
      </w:r>
      <w:r w:rsidRPr="006C04F8">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w:t>
      </w:r>
      <w:r>
        <w:t>o</w:t>
      </w:r>
      <w:r w:rsidRPr="006C04F8">
        <w:t>ra en fauna, energie, bodem, afval, defensie, recreatie, horeca, evenementen, cultuur, cultureel erfgoed, klimaatverandering.</w:t>
      </w:r>
    </w:p>
    <w:p w14:paraId="4DA72F13" w14:textId="17739F79" w:rsidR="00ED2102" w:rsidRDefault="00ED2102" w:rsidP="00ED2102">
      <w:pPr>
        <w:pStyle w:val="Opsommingtekens1"/>
      </w:pPr>
      <w:r w:rsidRPr="00B3240A">
        <w:rPr>
          <w:i/>
          <w:iCs/>
        </w:rPr>
        <w:t>mededelingOver</w:t>
      </w:r>
      <w:r w:rsidRPr="00B3240A">
        <w:t xml:space="preserve">: de verwijzing vanuit een kennisgeving naar (de identificatie van) het (ontwerp)besluit waarover de kennisgeving gaat. Onder voorwaarde verplicht gegeven, komt 0 of 1 keer voor. </w:t>
      </w:r>
      <w:r w:rsidRPr="00B3240A">
        <w:br/>
      </w:r>
      <w:r w:rsidRPr="00B3240A">
        <w:rPr>
          <w:u w:val="single"/>
        </w:rPr>
        <w:t>Toelichting/advies</w:t>
      </w:r>
      <w:r w:rsidRPr="00B3240A">
        <w:t>: dit gegeven is alleen verplicht als de kennisgeving gaat over een (voorafgaand aan de kennisgeving aangeleverd, daadwerkelijk bestaand) (ontwerp)besluit. Bij het onderhavige</w:t>
      </w:r>
      <w:r>
        <w:t xml:space="preserve"> type kennisgeving wordt dit gegeven niet aangeleverd. In dit stadium van de procedure is er </w:t>
      </w:r>
      <w:r w:rsidR="00C92896">
        <w:t xml:space="preserve">wel </w:t>
      </w:r>
      <w:r>
        <w:t xml:space="preserve">een </w:t>
      </w:r>
      <w:r w:rsidR="00C92896">
        <w:t>ontwerp</w:t>
      </w:r>
      <w:r>
        <w:t>besluit</w:t>
      </w:r>
      <w:r w:rsidR="00C92896">
        <w:t xml:space="preserve">, maar dat is niet </w:t>
      </w:r>
      <w:r w:rsidR="00002EDB">
        <w:t>overeenkomstig STOP vormgegeven en aangeleverd, waardoor zo’n verwijzing niet mogelijk is</w:t>
      </w:r>
      <w:r>
        <w:t>.</w:t>
      </w:r>
    </w:p>
    <w:p w14:paraId="21C5BD34" w14:textId="292E982F" w:rsidR="00ED2102" w:rsidRPr="00B3240A" w:rsidRDefault="00ED2102" w:rsidP="00ED2102">
      <w:pPr>
        <w:pStyle w:val="Opsommingtekens1"/>
      </w:pPr>
      <w:r w:rsidRPr="00B3240A">
        <w:rPr>
          <w:i/>
          <w:iCs/>
        </w:rPr>
        <w:t>soortKennisgeving</w:t>
      </w:r>
      <w:r w:rsidRPr="00B3240A">
        <w:t xml:space="preserve">: gegeven dat aangeeft wat voor soort kennisgeving het betreft, te kiezen uit een waardelijst die in het STOP-schema is opgenomen. </w:t>
      </w:r>
      <w:r w:rsidR="00803BC5">
        <w:t>Verplicht gegeven. Komt 1 keer voor.</w:t>
      </w:r>
      <w:r w:rsidRPr="00B3240A">
        <w:br/>
      </w:r>
      <w:r w:rsidRPr="00B3240A">
        <w:rPr>
          <w:u w:val="single"/>
        </w:rPr>
        <w:t>Toelichting/advies</w:t>
      </w:r>
      <w:r w:rsidRPr="00B3240A">
        <w:t xml:space="preserve">: met dit gegeven wordt aangegeven of het een kennisgeving betreft </w:t>
      </w:r>
      <w:r w:rsidRPr="00B3240A">
        <w:lastRenderedPageBreak/>
        <w:t>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moet worden gekozen voor de waarde KennisgevingVoorgenomenBesluit.</w:t>
      </w:r>
      <w:r w:rsidR="00525564">
        <w:t xml:space="preserve"> </w:t>
      </w:r>
      <w:r w:rsidR="00525564" w:rsidRPr="00525564">
        <w:t xml:space="preserve">Zoals in de vorige paragraaf al is aangegeven is dit een beperkte workaround omdat STOP nog geen algemene kennisgeving kent. Het enige nadeel is dat dit leidt tot metadata die niet helemaal </w:t>
      </w:r>
      <w:r w:rsidR="00AB1578">
        <w:t>passend</w:t>
      </w:r>
      <w:r w:rsidR="00525564" w:rsidRPr="00525564">
        <w:t xml:space="preserve"> zijn.</w:t>
      </w:r>
    </w:p>
    <w:p w14:paraId="39F82A70" w14:textId="77777777" w:rsidR="00ED2102" w:rsidRPr="008B1586" w:rsidRDefault="00ED2102" w:rsidP="00ED2102">
      <w:pPr>
        <w:pStyle w:val="Kader"/>
      </w:pPr>
      <w:r w:rsidRPr="00B26823">
        <w:rPr>
          <w:noProof/>
        </w:rPr>
        <mc:AlternateContent>
          <mc:Choice Requires="wps">
            <w:drawing>
              <wp:inline distT="0" distB="0" distL="0" distR="0" wp14:anchorId="0080ED86" wp14:editId="6D24D131">
                <wp:extent cx="5400040" cy="985631"/>
                <wp:effectExtent l="0" t="0" r="22860" b="22860"/>
                <wp:docPr id="10" name="Tekstvak 1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DDEADC5" w14:textId="77777777" w:rsidR="00ED2102" w:rsidRPr="009A08A2" w:rsidRDefault="00ED2102" w:rsidP="00ED2102">
                            <w:pPr>
                              <w:rPr>
                                <w:b/>
                                <w:bCs/>
                              </w:rPr>
                            </w:pPr>
                            <w:r w:rsidRPr="009A08A2">
                              <w:rPr>
                                <w:b/>
                                <w:bCs/>
                              </w:rPr>
                              <w:t>Toekomstige functionaliteit</w:t>
                            </w:r>
                          </w:p>
                          <w:p w14:paraId="32A67132" w14:textId="5BAC7FDA" w:rsidR="00ED2102" w:rsidRPr="00C352EA" w:rsidRDefault="00ED2102" w:rsidP="0045213A">
                            <w:r w:rsidRPr="00C352EA">
                              <w:t xml:space="preserve">In deze paragraaf is beschreven </w:t>
                            </w:r>
                            <w:r>
                              <w:t xml:space="preserve">hoe de </w:t>
                            </w:r>
                            <w:r w:rsidRPr="00471692">
                              <w:t>kennisgev</w:t>
                            </w:r>
                            <w:r>
                              <w:t>i</w:t>
                            </w:r>
                            <w:r w:rsidRPr="00471692">
                              <w:t>n</w:t>
                            </w:r>
                            <w:r>
                              <w:t>g</w:t>
                            </w:r>
                            <w:r w:rsidRPr="00471692">
                              <w:t xml:space="preserve"> van </w:t>
                            </w:r>
                            <w:r>
                              <w:t xml:space="preserve">het </w:t>
                            </w:r>
                            <w:r w:rsidR="009D6560">
                              <w:t>ontwerp</w:t>
                            </w:r>
                            <w:r w:rsidR="00D629F5">
                              <w:t xml:space="preserve"> en de definitieve versie</w:t>
                            </w:r>
                            <w:r w:rsidR="009D6560">
                              <w:t xml:space="preserve"> van de voorkeursbeslissing</w:t>
                            </w:r>
                            <w:r w:rsidRPr="00471692">
                              <w:t xml:space="preserve"> </w:t>
                            </w:r>
                            <w:r>
                              <w:t xml:space="preserve">moet worden aangeleverd. </w:t>
                            </w:r>
                            <w:r w:rsidR="00BB450C">
                              <w:t>Het is de bedoeling om in de toekomst een meer algemene kennisgeving aan de standaard toe te voegen. Tot het zover is en die kennisgeving is geïmplementeerd in de DSO-keten, moet -indien gekozen wordt voor de STOP-LVBB-route- gebruik gemaakt worden van de kennisgeving voor het voorgenomen besluit.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80ED86" id="Tekstvak 10" o:spid="_x0000_s103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w1LwIAAFk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7fvdQHEgGBwcJ8Rbuaop/JPw+CocjQS1R2OOL3SUGqgmOEmcVeB+/e0++BNTZOWspRHL&#10;uaEd4Ex/N8Tg/XAcMMOojCe3I1LctWVzbTG7ZgnU5pDWycooBn/UvVg6aN5pFxYhJ5mEkZQ559iL&#10;SzyOPe2SVItFdKIZtAKfzNrKELoH9a17F86eyEKi+Rn6URTZB86OvuGlt4sdEnOR0IDyEdMT+DS/&#10;kZvTroUFudaj1+WPMP8N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jF7w1LwIAAFkEAAAOAAAAAAAAAAAAAAAAAC4CAABkcnMv&#10;ZTJvRG9jLnhtbFBLAQItABQABgAIAAAAIQAt+CFs2gAAAAUBAAAPAAAAAAAAAAAAAAAAAIkEAABk&#10;cnMvZG93bnJldi54bWxQSwUGAAAAAAQABADzAAAAkAUAAAAA&#10;" filled="f" strokeweight=".5pt">
                <v:textbox style="mso-fit-shape-to-text:t">
                  <w:txbxContent>
                    <w:p w14:paraId="2DDEADC5" w14:textId="77777777" w:rsidR="00ED2102" w:rsidRPr="009A08A2" w:rsidRDefault="00ED2102" w:rsidP="00ED2102">
                      <w:pPr>
                        <w:rPr>
                          <w:b/>
                          <w:bCs/>
                        </w:rPr>
                      </w:pPr>
                      <w:r w:rsidRPr="009A08A2">
                        <w:rPr>
                          <w:b/>
                          <w:bCs/>
                        </w:rPr>
                        <w:t>Toekomstige functionaliteit</w:t>
                      </w:r>
                    </w:p>
                    <w:p w14:paraId="32A67132" w14:textId="5BAC7FDA" w:rsidR="00ED2102" w:rsidRPr="00C352EA" w:rsidRDefault="00ED2102" w:rsidP="0045213A">
                      <w:r w:rsidRPr="00C352EA">
                        <w:t xml:space="preserve">In deze paragraaf is beschreven </w:t>
                      </w:r>
                      <w:r>
                        <w:t xml:space="preserve">hoe de </w:t>
                      </w:r>
                      <w:r w:rsidRPr="00471692">
                        <w:t>kennisgev</w:t>
                      </w:r>
                      <w:r>
                        <w:t>i</w:t>
                      </w:r>
                      <w:r w:rsidRPr="00471692">
                        <w:t>n</w:t>
                      </w:r>
                      <w:r>
                        <w:t>g</w:t>
                      </w:r>
                      <w:r w:rsidRPr="00471692">
                        <w:t xml:space="preserve"> van </w:t>
                      </w:r>
                      <w:r>
                        <w:t xml:space="preserve">het </w:t>
                      </w:r>
                      <w:r w:rsidR="009D6560">
                        <w:t>ontwerp</w:t>
                      </w:r>
                      <w:r w:rsidR="00D629F5">
                        <w:t xml:space="preserve"> en de definitieve versie</w:t>
                      </w:r>
                      <w:r w:rsidR="009D6560">
                        <w:t xml:space="preserve"> van de voorkeursbeslissing</w:t>
                      </w:r>
                      <w:r w:rsidRPr="00471692">
                        <w:t xml:space="preserve"> </w:t>
                      </w:r>
                      <w:r>
                        <w:t xml:space="preserve">moet worden aangeleverd. </w:t>
                      </w:r>
                      <w:r w:rsidR="00BB450C">
                        <w:t>Het is de bedoeling om in de toekomst een meer algemene kennisgeving aan de standaard toe te voegen. Tot het zover is en die kennisgeving is geïmplementeerd in de DSO-keten, moet -indien gekozen wordt voor de STOP-LVBB-route- gebruik gemaakt worden van de kennisgeving voor het voorgenomen besluit.</w:t>
                      </w:r>
                    </w:p>
                  </w:txbxContent>
                </v:textbox>
                <w10:anchorlock/>
              </v:shape>
            </w:pict>
          </mc:Fallback>
        </mc:AlternateContent>
      </w:r>
    </w:p>
    <w:p w14:paraId="4E081715" w14:textId="77777777" w:rsidR="00576C0D" w:rsidRDefault="00576C0D" w:rsidP="00576C0D">
      <w:pPr>
        <w:pStyle w:val="Kop6"/>
      </w:pPr>
      <w:r>
        <w:t>Datum publicatie kennisgeving</w:t>
      </w:r>
    </w:p>
    <w:p w14:paraId="2F4E3E78" w14:textId="1AF7BC3A" w:rsidR="00ED2102" w:rsidRDefault="00576C0D">
      <w:r>
        <w:t xml:space="preserve">De datum waarop </w:t>
      </w:r>
      <w:r w:rsidRPr="002D4FE6">
        <w:t xml:space="preserve">waterschap, provincie of Rijk </w:t>
      </w:r>
      <w:r>
        <w:t xml:space="preserve">wil dat de kennisgeving in </w:t>
      </w:r>
      <w:r w:rsidRPr="002D4FE6">
        <w:t>waterschapsblad, provinciaal blad of Staatscourant</w:t>
      </w:r>
      <w:r>
        <w:t xml:space="preserve"> wordt gepubliceerd, </w:t>
      </w:r>
      <w:r w:rsidRPr="00503EC9">
        <w:t xml:space="preserve">wordt doorgegeven </w:t>
      </w:r>
      <w:r>
        <w:t>in de publicatieopdracht aan de LVBB</w:t>
      </w:r>
      <w:r w:rsidR="005A5501">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