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F5E24" w14:textId="77777777" w:rsidR="003873BF" w:rsidRDefault="003873BF" w:rsidP="003873BF">
      <w:pPr>
        <w:pStyle w:val="Kop4"/>
      </w:pPr>
      <w:r w:rsidRPr="00900D62">
        <w:t>Uitvoering meervoudig bronhouderschap en consolidatie met concept ‘tijdelijk regelingdeel’</w:t>
      </w:r>
    </w:p>
    <w:p w14:paraId="43CB522F" w14:textId="77777777" w:rsidR="003873BF" w:rsidRDefault="003873BF" w:rsidP="003873BF">
      <w:r w:rsidRPr="006D67F4">
        <w:t>Gebleken is dat</w:t>
      </w:r>
      <w:r>
        <w:t xml:space="preserve"> de door de wetgever beoogde vorm van </w:t>
      </w:r>
      <w:r w:rsidRPr="006D67F4">
        <w:t xml:space="preserve">meervoudig bronhouderschap </w:t>
      </w:r>
      <w:r>
        <w:t xml:space="preserve">juridisch én </w:t>
      </w:r>
      <w:r w:rsidRPr="000D2E1E">
        <w:t xml:space="preserve">technisch </w:t>
      </w:r>
      <w:r>
        <w:t xml:space="preserve">heel </w:t>
      </w:r>
      <w:r w:rsidRPr="006D67F4">
        <w:t xml:space="preserve">complex is. </w:t>
      </w:r>
      <w:r>
        <w:t>Ten eerste</w:t>
      </w:r>
      <w:r w:rsidRPr="006D67F4">
        <w:t xml:space="preserve"> omdat iedere wijziging niet alleen een wijziging van tekst is, maar ook van locaties, annotaties en </w:t>
      </w:r>
      <w:r w:rsidRPr="003C6B75">
        <w:t>geografische informatieobjecten</w:t>
      </w:r>
      <w:r w:rsidRPr="006D67F4">
        <w:t xml:space="preserve"> </w:t>
      </w:r>
      <w:r>
        <w:t xml:space="preserve">(en daarmee ook gevolgen kan hebben voor de juridische en technische opzet van het omgevingsplan) </w:t>
      </w:r>
      <w:r w:rsidRPr="006D67F4">
        <w:t xml:space="preserve">en ook gevolgen kan hebben voor de </w:t>
      </w:r>
      <w:r w:rsidRPr="00917AEE">
        <w:t xml:space="preserve">toepasbare regels </w:t>
      </w:r>
      <w:r w:rsidRPr="006D67F4">
        <w:t xml:space="preserve">waarmee het omgevingsplan in het Omgevingsloket bevraagd kan worden. </w:t>
      </w:r>
      <w:r>
        <w:t xml:space="preserve">Ten tweede </w:t>
      </w:r>
      <w:r w:rsidRPr="006D67F4">
        <w:t xml:space="preserve">omdat </w:t>
      </w:r>
      <w:r>
        <w:t>niet eenduidig is hoe wijzigingen uitgevoerd moeten worden. V</w:t>
      </w:r>
      <w:r w:rsidRPr="006D67F4">
        <w:t xml:space="preserve">oor het omgevingsplan </w:t>
      </w:r>
      <w:r>
        <w:t xml:space="preserve">geldt namelijk </w:t>
      </w:r>
      <w:r w:rsidRPr="006D67F4">
        <w:t>een overgangsfase waarin gemeenten het omgevingsplan stapsgewijs kunnen opbouwen</w:t>
      </w:r>
      <w:r>
        <w:t>.</w:t>
      </w:r>
      <w:r w:rsidRPr="006D67F4">
        <w:t xml:space="preserve"> </w:t>
      </w:r>
      <w:r>
        <w:t>I</w:t>
      </w:r>
      <w:r w:rsidRPr="006D67F4">
        <w:t>n die periode bestaat het omgevingsplan uit het omgevingsplan van rechtswege (</w:t>
      </w:r>
      <w:r>
        <w:t xml:space="preserve">met name </w:t>
      </w:r>
      <w:r w:rsidRPr="006D67F4">
        <w:t xml:space="preserve">bestaande uit de geldende bestemmingsplannen c.a. die in Ruimtelijkeplannen.nl zijn gepubliceerd en dan via de overbruggingsfunctie </w:t>
      </w:r>
      <w:r>
        <w:t xml:space="preserve">in DSO-LV </w:t>
      </w:r>
      <w:r w:rsidRPr="006D67F4">
        <w:t>getoond worden), het omgevingsplan van Rijkswege (oftewel de bruidsschatregels) en het omgevingsplan dat de gemeente zelf aan het opbouwen is.</w:t>
      </w:r>
      <w:r>
        <w:t xml:space="preserve"> Bovendien zal het omgevingsplan naar verwachting vaak gewijzigd worden, zowel door wijzigingsbesluiten (van gemeenteraad maar ook van B&amp;W) en voorbereidingsbesluiten van de gemeente zelf als door voorbereidingsbesluiten, reactieve interventies en projectbesluiten van bestuursorganen van andere bestuurslagen. Alleen al voor de wijzigingsbesluiten van de gemeente zelf geldt dat er zeer zorgvuldig geregisseerd moet worden wanneer welk besluit wordt genomen. Om deze redenen </w:t>
      </w:r>
      <w:r w:rsidRPr="00CC3E2C">
        <w:t xml:space="preserve">is de vorm van tweerichtingsverkeer met de LVBB die </w:t>
      </w:r>
      <w:r w:rsidRPr="0045636D">
        <w:t xml:space="preserve">nodig is </w:t>
      </w:r>
      <w:r w:rsidRPr="00CC3E2C">
        <w:t xml:space="preserve">voor </w:t>
      </w:r>
      <w:r>
        <w:t xml:space="preserve">de door de wetgever beoogde vorm van </w:t>
      </w:r>
      <w:r w:rsidRPr="00CC3E2C">
        <w:t>meervoudig bronhouderschap</w:t>
      </w:r>
      <w:r>
        <w:t xml:space="preserve">, </w:t>
      </w:r>
      <w:r w:rsidRPr="00D858AD">
        <w:t>niet haalbaar gebleken</w:t>
      </w:r>
      <w:r w:rsidRPr="00CC3E2C">
        <w:t>.</w:t>
      </w:r>
    </w:p>
    <w:p w14:paraId="6A1CBD5F" w14:textId="77777777" w:rsidR="003873BF" w:rsidRDefault="003873BF" w:rsidP="003873BF">
      <w:r>
        <w:t xml:space="preserve">In </w:t>
      </w:r>
      <w:r w:rsidRPr="00FB74CA">
        <w:t xml:space="preserve">de STOP/TPOD-standaard </w:t>
      </w:r>
      <w:r>
        <w:t xml:space="preserve">is de </w:t>
      </w:r>
      <w:r w:rsidRPr="00FB74CA">
        <w:t>technisch</w:t>
      </w:r>
      <w:r>
        <w:t>e</w:t>
      </w:r>
      <w:r w:rsidRPr="00FB74CA">
        <w:t xml:space="preserve"> </w:t>
      </w:r>
      <w:r>
        <w:t xml:space="preserve">invulling </w:t>
      </w:r>
      <w:r w:rsidRPr="00FB74CA">
        <w:t xml:space="preserve">ontwikkeld </w:t>
      </w:r>
      <w:r>
        <w:t xml:space="preserve">van </w:t>
      </w:r>
      <w:r w:rsidRPr="00FB74CA">
        <w:t>het meervoudig bronhouderscha</w:t>
      </w:r>
      <w:r>
        <w:t xml:space="preserve">p: het tijdelijk regelingdeel. </w:t>
      </w:r>
      <w:r w:rsidRPr="00D80239">
        <w:t xml:space="preserve">Dit concept </w:t>
      </w:r>
      <w:r>
        <w:t xml:space="preserve">houdt in </w:t>
      </w:r>
      <w:r w:rsidRPr="00D80239">
        <w:t>dat de juridische geconsolideerde regeling kan bestaan uit een hoofdregeling en een</w:t>
      </w:r>
      <w:r>
        <w:t xml:space="preserve"> of meer</w:t>
      </w:r>
      <w:r w:rsidRPr="00D80239">
        <w:t xml:space="preserve"> tijdelijk regelingdel</w:t>
      </w:r>
      <w:r>
        <w:t>en</w:t>
      </w:r>
      <w:r w:rsidRPr="00D80239">
        <w:t>.</w:t>
      </w:r>
      <w:r>
        <w:t xml:space="preserve"> </w:t>
      </w:r>
      <w:r w:rsidRPr="000B0D0F">
        <w:t>Het tijdelijk regelingdeel maakt tijdelijk deel uit van de geconsolideerde regeling en/of is afkomstig van een ander bevoegd gezag dan de ‘eigenaar’ van het omgevingsdocument.</w:t>
      </w:r>
      <w:r>
        <w:t xml:space="preserve"> </w:t>
      </w:r>
      <w:r w:rsidRPr="00D80239">
        <w:t xml:space="preserve">Technisch zijn het losse delen. </w:t>
      </w:r>
      <w:r>
        <w:t xml:space="preserve">Schematisch </w:t>
      </w:r>
      <w:r w:rsidRPr="00D80239">
        <w:t xml:space="preserve">ziet </w:t>
      </w:r>
      <w:r>
        <w:t xml:space="preserve">dit </w:t>
      </w:r>
      <w:r w:rsidRPr="00D80239">
        <w:t>er zo uit:</w:t>
      </w:r>
    </w:p>
    <w:p w14:paraId="6B99DFB8" w14:textId="77777777" w:rsidR="003873BF" w:rsidRPr="003C30F3" w:rsidRDefault="003873BF" w:rsidP="003873BF">
      <w:pPr>
        <w:pStyle w:val="Figuur"/>
      </w:pPr>
      <w:r>
        <w:rPr>
          <w:noProof/>
        </w:rPr>
        <w:lastRenderedPageBreak/>
        <w:drawing>
          <wp:inline distT="0" distB="0" distL="0" distR="0" wp14:anchorId="339B0383" wp14:editId="5CE28C95">
            <wp:extent cx="3952875" cy="2664079"/>
            <wp:effectExtent l="0" t="0" r="0"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9426" cy="2668494"/>
                    </a:xfrm>
                    <a:prstGeom prst="rect">
                      <a:avLst/>
                    </a:prstGeom>
                    <a:noFill/>
                  </pic:spPr>
                </pic:pic>
              </a:graphicData>
            </a:graphic>
          </wp:inline>
        </w:drawing>
      </w:r>
    </w:p>
    <w:p w14:paraId="09287981" w14:textId="77777777" w:rsidR="003873BF" w:rsidRDefault="003873BF" w:rsidP="003873BF">
      <w:pPr>
        <w:pStyle w:val="Figuurbijschrift"/>
      </w:pPr>
      <w:r w:rsidRPr="00114BD5">
        <w:tab/>
        <w:t>Onderdelen geconsolideerde regeling: hoofdregeling en tijdelijk regel</w:t>
      </w:r>
      <w:r>
        <w:t>ing</w:t>
      </w:r>
      <w:r w:rsidRPr="00114BD5">
        <w:t>del</w:t>
      </w:r>
      <w:r>
        <w:t>en</w:t>
      </w:r>
    </w:p>
    <w:p w14:paraId="7D296F1B" w14:textId="530B131B" w:rsidR="006C26A9" w:rsidRDefault="003873BF" w:rsidP="003873BF">
      <w:r>
        <w:t xml:space="preserve">Een regeling bestaat op deze manier uit één hoofdregeling en nul of meer tijdelijke regelingdelen. Elk deel (de hoofdregeling en ieder tijdelijk regelingdeel) is een apart ‘work’ </w:t>
      </w:r>
      <w:r w:rsidRPr="00546594">
        <w:t>(een eigenstandig deel)</w:t>
      </w:r>
      <w:r>
        <w:t xml:space="preserve"> en kan worden beheerd door een ander bevoegd gezag. Elk deel kan worden gewijzigd en heeft dus ook zijn eigen versies.</w:t>
      </w:r>
    </w:p>
    <w:p w14:paraId="0DA75FB3" w14:textId="39984769" w:rsidR="003873BF" w:rsidRDefault="003873BF" w:rsidP="003873BF">
      <w:r>
        <w:t xml:space="preserve">In STOP is het tijdelijk regelingdeel vormgegeven in het </w:t>
      </w:r>
      <w:r w:rsidRPr="001657E4">
        <w:t>tekstmodel RegelingTijdelijkdeel.</w:t>
      </w:r>
      <w:r>
        <w:t xml:space="preserve"> </w:t>
      </w:r>
      <w:r w:rsidRPr="003A295A">
        <w:t xml:space="preserve">De specificaties voor </w:t>
      </w:r>
      <w:r>
        <w:t xml:space="preserve">de </w:t>
      </w:r>
      <w:r w:rsidRPr="003A295A">
        <w:t xml:space="preserve">toepassing van het tekstmodel RegelingTijdelijkdeel </w:t>
      </w:r>
      <w:r>
        <w:t xml:space="preserve">op het </w:t>
      </w:r>
      <w:r w:rsidR="00C423BE">
        <w:t>voorbereidings</w:t>
      </w:r>
      <w:r>
        <w:t xml:space="preserve">besluit </w:t>
      </w:r>
      <w:r w:rsidRPr="003A295A">
        <w:t xml:space="preserve">staan </w:t>
      </w:r>
      <w:r w:rsidRPr="00361020">
        <w:t xml:space="preserve">in paragraaf </w:t>
      </w:r>
      <w:r w:rsidR="00361020" w:rsidRPr="00361020">
        <w:rPr>
          <w:rStyle w:val="Verwijzing"/>
        </w:rPr>
        <w:fldChar w:fldCharType="begin"/>
      </w:r>
      <w:r w:rsidR="00361020" w:rsidRPr="00361020">
        <w:instrText xml:space="preserve"> REF _Ref_e74951cf751ca24cffeb399feba85db4_1 \n \h </w:instrText>
      </w:r>
      <w:r w:rsidR="00361020">
        <w:rPr>
          <w:rStyle w:val="Verwijzing"/>
        </w:rPr>
        <w:instrText xml:space="preserve"> \* MERGEFORMAT </w:instrText>
      </w:r>
      <w:r w:rsidR="00361020" w:rsidRPr="00361020">
        <w:rPr>
          <w:rStyle w:val="Verwijzing"/>
        </w:rPr>
      </w:r>
      <w:r w:rsidR="00361020" w:rsidRPr="00361020">
        <w:rPr>
          <w:rStyle w:val="Verwijzing"/>
        </w:rPr>
        <w:fldChar w:fldCharType="separate"/>
      </w:r>
      <w:r w:rsidR="006C26A9">
        <w:t>4.3.3</w:t>
      </w:r>
      <w:r w:rsidR="00361020" w:rsidRPr="00361020">
        <w:rPr>
          <w:rStyle w:val="Verwijzing"/>
        </w:rPr>
        <w:fldChar w:fldCharType="end"/>
      </w:r>
      <w:r w:rsidRPr="00361020">
        <w:t>.</w:t>
      </w:r>
    </w:p>
    <w:p w14:paraId="690F0082" w14:textId="77777777" w:rsidR="003873BF" w:rsidRDefault="003873BF" w:rsidP="003873BF">
      <w:r w:rsidRPr="00530B39">
        <w:t xml:space="preserve">Het concept tijdelijk </w:t>
      </w:r>
      <w:r>
        <w:t>regeling</w:t>
      </w:r>
      <w:r w:rsidRPr="00530B39">
        <w:t>deel geldt zowel voor tekst als voor geografische informatieobjecten</w:t>
      </w:r>
      <w:r>
        <w:t xml:space="preserve"> </w:t>
      </w:r>
      <w:r w:rsidRPr="00585E19">
        <w:t xml:space="preserve">(verder afgekort tot GIO, zie </w:t>
      </w:r>
      <w:r>
        <w:t xml:space="preserve">daarvoor verder </w:t>
      </w:r>
      <w:r w:rsidRPr="00585E19">
        <w:t xml:space="preserve">paragraaf </w:t>
      </w:r>
      <w:r>
        <w:fldChar w:fldCharType="begin" w:fldLock="1"/>
      </w:r>
      <w:r>
        <w:instrText xml:space="preserve"> REF _Ref_4552725304a039aaf2ff4eda6a046b93_1 \n \h </w:instrText>
      </w:r>
      <w:r>
        <w:fldChar w:fldCharType="separate"/>
      </w:r>
      <w:r w:rsidRPr="00DF3BF8">
        <w:rPr>
          <w:rStyle w:val="Verwijzing"/>
        </w:rPr>
        <w:t>6.1.2.1</w:t>
      </w:r>
      <w:r>
        <w:fldChar w:fldCharType="end"/>
      </w:r>
      <w:r w:rsidRPr="00585E19">
        <w:t>)</w:t>
      </w:r>
      <w:r w:rsidRPr="00530B39">
        <w:t xml:space="preserve">. Een tijdelijk </w:t>
      </w:r>
      <w:r>
        <w:t>regeling</w:t>
      </w:r>
      <w:r w:rsidRPr="00530B39">
        <w:t xml:space="preserve">deel kan </w:t>
      </w:r>
      <w:r>
        <w:t>a</w:t>
      </w:r>
      <w:r w:rsidRPr="00530B39">
        <w:t xml:space="preserve">rtikelen en </w:t>
      </w:r>
      <w:r>
        <w:t>l</w:t>
      </w:r>
      <w:r w:rsidRPr="00530B39">
        <w:t xml:space="preserve">eden hebben die niet in de hoofdregeling voorkomen én alternatieve versies van </w:t>
      </w:r>
      <w:r>
        <w:t>a</w:t>
      </w:r>
      <w:r w:rsidRPr="00530B39">
        <w:t xml:space="preserve">rtikelen en </w:t>
      </w:r>
      <w:r>
        <w:t>l</w:t>
      </w:r>
      <w:r w:rsidRPr="00530B39">
        <w:t xml:space="preserve">eden uit de hoofdregeling. </w:t>
      </w:r>
      <w:r>
        <w:t>Ieder</w:t>
      </w:r>
      <w:r w:rsidRPr="00530B39">
        <w:t xml:space="preserve"> tijdelijk </w:t>
      </w:r>
      <w:r>
        <w:t>regeling</w:t>
      </w:r>
      <w:r w:rsidRPr="00530B39">
        <w:t xml:space="preserve">deel </w:t>
      </w:r>
      <w:r>
        <w:t>heeft eigen GIO’s. Ze kunnen bedoeld zijn</w:t>
      </w:r>
      <w:r w:rsidRPr="00530B39">
        <w:t xml:space="preserve"> </w:t>
      </w:r>
      <w:r>
        <w:t xml:space="preserve">als </w:t>
      </w:r>
      <w:r w:rsidRPr="0037697E">
        <w:t>GIO</w:t>
      </w:r>
      <w:r>
        <w:t>’</w:t>
      </w:r>
      <w:r w:rsidRPr="0037697E">
        <w:t>s</w:t>
      </w:r>
      <w:r>
        <w:t xml:space="preserve"> die </w:t>
      </w:r>
      <w:r w:rsidRPr="00530B39">
        <w:t xml:space="preserve">niet in de hoofdregeling voorkomen </w:t>
      </w:r>
      <w:r>
        <w:t xml:space="preserve">of als </w:t>
      </w:r>
      <w:r w:rsidRPr="00530B39">
        <w:t xml:space="preserve">alternatieve versies van </w:t>
      </w:r>
      <w:r w:rsidRPr="0037697E">
        <w:t>GIO</w:t>
      </w:r>
      <w:r>
        <w:t>’</w:t>
      </w:r>
      <w:r w:rsidRPr="0037697E">
        <w:t xml:space="preserve">s </w:t>
      </w:r>
      <w:r w:rsidRPr="00530B39">
        <w:t>uit de hoofdregeling</w:t>
      </w:r>
      <w:r>
        <w:t>, bij voorbeeld om aan te geven dat een onderdeel van de hoofdregeling op een bepaalde locatie wel of juist niet geldt</w:t>
      </w:r>
      <w:r w:rsidRPr="00530B39">
        <w:t>. Datzelfde geldt voor annotaties met OW-objecten.</w:t>
      </w:r>
    </w:p>
    <w:p w14:paraId="7F937B0D" w14:textId="164D70FD" w:rsidR="003873BF" w:rsidRDefault="003873BF" w:rsidP="003873BF">
      <w:r>
        <w:t>De hoofdregeling is het initiële o</w:t>
      </w:r>
      <w:r w:rsidRPr="00AA27B5">
        <w:t>mgevingsplan</w:t>
      </w:r>
      <w:r>
        <w:t xml:space="preserve"> (de bruidsschat),</w:t>
      </w:r>
      <w:r w:rsidRPr="00AA27B5">
        <w:t xml:space="preserve"> </w:t>
      </w:r>
      <w:r>
        <w:t xml:space="preserve">geconsolideerd met alle wijzigingsbesluiten die de gemeente </w:t>
      </w:r>
      <w:r w:rsidRPr="00A12C56">
        <w:t xml:space="preserve">daarna </w:t>
      </w:r>
      <w:r>
        <w:t xml:space="preserve">heeft </w:t>
      </w:r>
      <w:r w:rsidRPr="00A12C56">
        <w:t>genomen</w:t>
      </w:r>
      <w:r>
        <w:t xml:space="preserve">. Een tijdelijk regelingdeel is een technisch afzonderlijk deel, dat niet wordt geconsolideerd in de hoofdregeling, maar wel samen met de hoofdregeling de geconsolideerde regeling vormt. Ieder tijdelijk regelingdeel kan met wijzigingsbesluiten worden gewijzigd; dan ontstaat een consolidatie van dat tijdelijk regelingdeel. </w:t>
      </w:r>
      <w:r w:rsidR="009B5ADA">
        <w:t>T</w:t>
      </w:r>
      <w:r w:rsidR="00292358">
        <w:t>echnisch</w:t>
      </w:r>
      <w:r w:rsidR="009B5ADA">
        <w:t xml:space="preserve"> wordt de</w:t>
      </w:r>
      <w:r w:rsidR="00292358">
        <w:t xml:space="preserve"> </w:t>
      </w:r>
      <w:r>
        <w:t xml:space="preserve">relatie tussen het tijdelijk regelingdeel en de </w:t>
      </w:r>
      <w:r w:rsidR="00292358">
        <w:t>(</w:t>
      </w:r>
      <w:r>
        <w:t>hoofd</w:t>
      </w:r>
      <w:r w:rsidR="00292358">
        <w:t>)</w:t>
      </w:r>
      <w:r>
        <w:t xml:space="preserve">regeling </w:t>
      </w:r>
      <w:r w:rsidR="00D465F0">
        <w:t xml:space="preserve">van omgevingsplan of omgevingsverordening </w:t>
      </w:r>
      <w:r>
        <w:t>vastgelegd in de STOP-metadata: dít tijdelijk regelingdeel hoort bij díé hoofdregeling.</w:t>
      </w:r>
    </w:p>
    <w:p w14:paraId="57E49D47" w14:textId="3E41D823" w:rsidR="003873BF" w:rsidRDefault="003873BF" w:rsidP="003873BF">
      <w:r>
        <w:t xml:space="preserve">Ieder tijdelijk regelingdeel begint met de conditie van het tijdelijk regelingdeel: een beschrijving in woorden van de verhouding tussen dit tijdelijk regelingdeel en de hoofdregeling. Doorgaans zal in de conditie worden bepaald dat de regels in het tijdelijk regelingdeel -daar waar ze afwijken- </w:t>
      </w:r>
      <w:r w:rsidRPr="002F3562">
        <w:t xml:space="preserve">voorrang </w:t>
      </w:r>
      <w:r>
        <w:t xml:space="preserve">hebben op de regels in de hoofdregeling. </w:t>
      </w:r>
      <w:r w:rsidRPr="006029D8">
        <w:t xml:space="preserve">Door middel van het STOP-XML-element </w:t>
      </w:r>
      <w:r w:rsidR="007B3B79">
        <w:t>C</w:t>
      </w:r>
      <w:r w:rsidRPr="006029D8">
        <w:t xml:space="preserve">onditie is </w:t>
      </w:r>
      <w:r>
        <w:t xml:space="preserve">de </w:t>
      </w:r>
      <w:r w:rsidRPr="006029D8">
        <w:t xml:space="preserve">conditie als zodanig te herkennen. Met </w:t>
      </w:r>
      <w:r w:rsidRPr="006029D8">
        <w:lastRenderedPageBreak/>
        <w:t xml:space="preserve">behulp van het tekstelement </w:t>
      </w:r>
      <w:r w:rsidR="007B3B79">
        <w:t>C</w:t>
      </w:r>
      <w:r w:rsidRPr="006029D8">
        <w:t xml:space="preserve">onditie kunnen </w:t>
      </w:r>
      <w:r>
        <w:t>overheid.nl</w:t>
      </w:r>
      <w:r w:rsidRPr="006029D8">
        <w:t xml:space="preserve"> en DSO-LV </w:t>
      </w:r>
      <w:r>
        <w:t xml:space="preserve">de </w:t>
      </w:r>
      <w:r w:rsidRPr="006029D8">
        <w:t>conditie</w:t>
      </w:r>
      <w:r>
        <w:t xml:space="preserve"> tonen bij de regels uit het tijdelijk regelingdeel zodat de raadpleger direct kan zien wat de verhouding tussen tijdelijk regelingdeel en hoofdregeling is. De </w:t>
      </w:r>
      <w:r w:rsidRPr="002E499B">
        <w:t xml:space="preserve">betekenis </w:t>
      </w:r>
      <w:r>
        <w:t>van de conditie wordt niet gemodelleerd. Er is dus geen attribuut waarmee de aard van de verhouding tussen hoofdregeling en tijdelijk regelingdeel machineleesbaar wordt gemaakt. Hoe die verhouding is, blijkt uit de tekst van de conditie.</w:t>
      </w:r>
      <w:r w:rsidR="003B74EF">
        <w:t xml:space="preserve"> Zie voor de aanbevolen tekst van de conditie paragraaf </w:t>
      </w:r>
      <w:r w:rsidR="00BD06B0">
        <w:fldChar w:fldCharType="begin"/>
      </w:r>
      <w:r w:rsidR="00BD06B0">
        <w:instrText xml:space="preserve"> REF _Ref_e74951cf751ca24cffeb399feba85db4_1 \n \h </w:instrText>
      </w:r>
      <w:r w:rsidR="00BD06B0">
        <w:fldChar w:fldCharType="separate"/>
      </w:r>
      <w:r w:rsidR="006C26A9">
        <w:t>4.3.3</w:t>
      </w:r>
      <w:r w:rsidR="00BD06B0">
        <w:fldChar w:fldCharType="end"/>
      </w:r>
      <w:r w:rsidR="00BD06B0">
        <w:t>.</w:t>
      </w:r>
    </w:p>
    <w:p w14:paraId="78729ADC" w14:textId="77777777" w:rsidR="003873BF" w:rsidRDefault="003873BF" w:rsidP="003873BF"/>
    <w:p w14:paraId="5FABE39B" w14:textId="4982E9FC" w:rsidR="003873BF" w:rsidRDefault="003873BF" w:rsidP="003873BF">
      <w:r>
        <w:t xml:space="preserve">Zoals in paragraaf </w:t>
      </w:r>
      <w:r>
        <w:fldChar w:fldCharType="begin" w:fldLock="1"/>
      </w:r>
      <w:r>
        <w:instrText xml:space="preserve"> REF _Ref_d0e00b65616baee913b8a6a774b614e8_1 \n \h </w:instrText>
      </w:r>
      <w:r>
        <w:fldChar w:fldCharType="separate"/>
      </w:r>
      <w:r w:rsidRPr="00DF3BF8">
        <w:rPr>
          <w:rStyle w:val="Verwijzing"/>
        </w:rPr>
        <w:t>2.4.1</w:t>
      </w:r>
      <w:r>
        <w:fldChar w:fldCharType="end"/>
      </w:r>
      <w:r>
        <w:t xml:space="preserve"> al is aangegeven, moet het</w:t>
      </w:r>
      <w:r w:rsidRPr="00033FB6">
        <w:t xml:space="preserve"> bestuursorgaan dat met </w:t>
      </w:r>
      <w:r>
        <w:t>een voorbereidingsbesluit</w:t>
      </w:r>
      <w:r w:rsidRPr="00033FB6">
        <w:t xml:space="preserve">, </w:t>
      </w:r>
      <w:r>
        <w:t xml:space="preserve">projectbesluit </w:t>
      </w:r>
      <w:r w:rsidRPr="00033FB6">
        <w:t xml:space="preserve">of </w:t>
      </w:r>
      <w:r>
        <w:t xml:space="preserve">reactieve interventie </w:t>
      </w:r>
      <w:r w:rsidRPr="00033FB6">
        <w:t>een omgevingsplan wijzigt</w:t>
      </w:r>
      <w:r>
        <w:t>,</w:t>
      </w:r>
      <w:r w:rsidRPr="00033FB6">
        <w:t xml:space="preserve"> </w:t>
      </w:r>
      <w:r>
        <w:t xml:space="preserve">zorgen voor het </w:t>
      </w:r>
      <w:r w:rsidRPr="00033FB6">
        <w:t>verwerken</w:t>
      </w:r>
      <w:r>
        <w:t xml:space="preserve"> van</w:t>
      </w:r>
      <w:r w:rsidRPr="00033FB6">
        <w:t xml:space="preserve"> deze wijziging in een nieuwe geconsolideerde versie van het omgevingsplan</w:t>
      </w:r>
      <w:r>
        <w:rPr>
          <w:rStyle w:val="Voetnootmarkering"/>
        </w:rPr>
        <w:footnoteReference w:id="6"/>
      </w:r>
      <w:r w:rsidRPr="00033FB6">
        <w:t>.</w:t>
      </w:r>
      <w:r w:rsidRPr="00DA7752">
        <w:t xml:space="preserve"> </w:t>
      </w:r>
      <w:r>
        <w:t>N</w:t>
      </w:r>
      <w:r w:rsidRPr="002B5FE5">
        <w:t xml:space="preserve">et als het doorvoeren van </w:t>
      </w:r>
      <w:r>
        <w:t>wijzigingen</w:t>
      </w:r>
      <w:r w:rsidRPr="002B5FE5">
        <w:t xml:space="preserve"> in een al bestaand plandeel</w:t>
      </w:r>
      <w:r>
        <w:t xml:space="preserve"> is d</w:t>
      </w:r>
      <w:r w:rsidRPr="00DA7752">
        <w:t xml:space="preserve">e toevoeging van een </w:t>
      </w:r>
      <w:r>
        <w:t>tijdelijk regeling</w:t>
      </w:r>
      <w:r w:rsidRPr="00DA7752">
        <w:t>deel aan het omgevingsplan een vorm van consolidatie.</w:t>
      </w:r>
      <w:r>
        <w:t xml:space="preserve"> </w:t>
      </w:r>
      <w:r w:rsidRPr="00DA7752">
        <w:t xml:space="preserve">In </w:t>
      </w:r>
      <w:r>
        <w:t xml:space="preserve">dat laatste </w:t>
      </w:r>
      <w:r w:rsidRPr="00DA7752">
        <w:t xml:space="preserve">geval wordt aan de consolidatieverplichting voldaan door </w:t>
      </w:r>
      <w:r>
        <w:t>het tijdelijk regeling</w:t>
      </w:r>
      <w:r w:rsidRPr="00DA7752">
        <w:t>deel (</w:t>
      </w:r>
      <w:r>
        <w:t xml:space="preserve">door </w:t>
      </w:r>
      <w:r w:rsidRPr="00DA7752">
        <w:t>middel</w:t>
      </w:r>
      <w:r>
        <w:t xml:space="preserve"> van </w:t>
      </w:r>
      <w:r w:rsidRPr="00DA7752">
        <w:t xml:space="preserve">metadata) te koppelen aan de </w:t>
      </w:r>
      <w:r>
        <w:t>hoofdregeling</w:t>
      </w:r>
      <w:r w:rsidRPr="00DA7752">
        <w:t xml:space="preserve"> van het omgevingsplan.</w:t>
      </w:r>
      <w:r>
        <w:t xml:space="preserve"> </w:t>
      </w:r>
      <w:r w:rsidRPr="00B07C37">
        <w:t>Vaststelling van een tijdelijk regelingdeel is een vorm van verwerking in het omgevingsplan</w:t>
      </w:r>
      <w:r>
        <w:t xml:space="preserve">, namelijk door er een (tijdelijk regeling)deel aan </w:t>
      </w:r>
      <w:r w:rsidRPr="001F0F63">
        <w:t>toe</w:t>
      </w:r>
      <w:r>
        <w:t xml:space="preserve"> te </w:t>
      </w:r>
      <w:r w:rsidRPr="001F0F63">
        <w:t>voeg</w:t>
      </w:r>
      <w:r>
        <w:t>e</w:t>
      </w:r>
      <w:r w:rsidRPr="001F0F63">
        <w:t>n</w:t>
      </w:r>
      <w:r w:rsidRPr="00B07C37">
        <w:t>. Hiermee wordt het omgevingsplan juridisch gewijzigd en ontstaat een nieuwe geconsolideerde versie.</w:t>
      </w:r>
    </w:p>
    <w:p w14:paraId="5A823D13" w14:textId="38161AE4" w:rsidR="00726C50" w:rsidRPr="00726C50" w:rsidRDefault="003873BF" w:rsidP="00773567">
      <w:r>
        <w:t>H</w:t>
      </w:r>
      <w:r w:rsidRPr="00DE067A">
        <w:t>et concept ‘tijdelijk regelingdeel’</w:t>
      </w:r>
      <w:r>
        <w:t xml:space="preserve"> van </w:t>
      </w:r>
      <w:r w:rsidRPr="00DE067A">
        <w:t>de STOP/TPOD-standaard</w:t>
      </w:r>
      <w:r>
        <w:t xml:space="preserve"> voorziet dus zowel in </w:t>
      </w:r>
      <w:r w:rsidRPr="004A4838">
        <w:t>de toepassing van het meervoudig bronhouderschap</w:t>
      </w:r>
      <w:r>
        <w:t xml:space="preserve"> als in het voldoen aan de consolidatieverplichting van artikel 16.2 Ow.</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 Id="rId21" Type="http://schemas.openxmlformats.org/officeDocument/2006/relationships/image" Target="media/image_fc0202bf53462d53b8717d531f36786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