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01B99" w14:textId="482CF536" w:rsidR="001F2C43" w:rsidRDefault="00BD27F7" w:rsidP="0028106D">
      <w:pPr>
        <w:pStyle w:val="Kop4"/>
      </w:pPr>
      <w:bookmarkStart w:id="27" w:name="_Ref_464454442f1e1f15629d9e4f7f9ec59d_1"/>
      <w:r w:rsidRPr="00BD27F7">
        <w:t xml:space="preserve">Toepassing van tijdelijk regelingdeel en consolidatie bij het wijzigen van omgevingsplan </w:t>
      </w:r>
      <w:r w:rsidR="00214EC5">
        <w:t xml:space="preserve">of omgevingsverordening </w:t>
      </w:r>
      <w:r w:rsidRPr="00BD27F7">
        <w:t>met</w:t>
      </w:r>
      <w:r w:rsidR="00AB41BB" w:rsidRPr="00AB41BB">
        <w:t xml:space="preserve"> </w:t>
      </w:r>
      <w:r w:rsidR="005836F9">
        <w:fldChar w:fldCharType="begin"/>
      </w:r>
      <w:r w:rsidR="005836F9">
        <w:instrText xml:space="preserve"> DOCVARIABLE ID01+ </w:instrText>
      </w:r>
      <w:r w:rsidR="005836F9">
        <w:fldChar w:fldCharType="separate"/>
      </w:r>
      <w:r w:rsidR="006C26A9">
        <w:t>het voorbereidingsbesluit</w:t>
      </w:r>
      <w:r w:rsidR="005836F9">
        <w:fldChar w:fldCharType="end"/>
      </w:r>
      <w:bookmarkEnd w:id="27"/>
    </w:p>
    <w:p w14:paraId="2F51F9BA" w14:textId="38B8D8A4" w:rsidR="00866ED3" w:rsidRDefault="007B3A1D">
      <w:r>
        <w:t xml:space="preserve">Het tijdelijk regelingdeel </w:t>
      </w:r>
      <w:r w:rsidR="00110354">
        <w:t xml:space="preserve">als onderdeel van de geconsolideerde regeling dat de voorbeschermingsregels bevat, </w:t>
      </w:r>
      <w:r>
        <w:t xml:space="preserve">wordt toegepast </w:t>
      </w:r>
      <w:r w:rsidR="001460EA">
        <w:t xml:space="preserve">bij alle </w:t>
      </w:r>
      <w:r w:rsidR="00642457" w:rsidRPr="00642457">
        <w:t>verschijningsvormen van het voorbereidingsbesluit</w:t>
      </w:r>
      <w:r w:rsidR="00443795">
        <w:t>.</w:t>
      </w:r>
      <w:r w:rsidR="00642457" w:rsidRPr="00642457">
        <w:t xml:space="preserve"> </w:t>
      </w:r>
      <w:r w:rsidR="00443795">
        <w:t xml:space="preserve">Het wordt </w:t>
      </w:r>
      <w:r w:rsidR="00642457" w:rsidRPr="00642457">
        <w:t xml:space="preserve">dus zowel </w:t>
      </w:r>
      <w:r w:rsidR="000401C1">
        <w:t>bij</w:t>
      </w:r>
      <w:r w:rsidR="000401C1" w:rsidRPr="00642457">
        <w:t xml:space="preserve"> </w:t>
      </w:r>
      <w:r w:rsidR="00642457" w:rsidRPr="00642457">
        <w:t xml:space="preserve">de voorbereidingsbesluiten met meervoudig bronhouderschap (o.g.v. artikel 4.16 Ow) als </w:t>
      </w:r>
      <w:r w:rsidR="000401C1">
        <w:t>bij</w:t>
      </w:r>
      <w:r w:rsidR="000401C1" w:rsidRPr="00642457">
        <w:t xml:space="preserve"> </w:t>
      </w:r>
      <w:r w:rsidR="00642457" w:rsidRPr="00642457">
        <w:t>voorbereidingsbesluiten zonder meervoudig bronhouderschap (o.g.v. de artikelen 4.14 en 4.15 Ow)</w:t>
      </w:r>
      <w:r w:rsidR="00443795">
        <w:t xml:space="preserve"> toegepast</w:t>
      </w:r>
      <w:r w:rsidR="00D44ECC">
        <w:t>. Daarvoor is een aantal redenen</w:t>
      </w:r>
      <w:r w:rsidR="003A4CF7">
        <w:t xml:space="preserve">. </w:t>
      </w:r>
      <w:r w:rsidR="00BE7670">
        <w:t xml:space="preserve">Het zorgt voor </w:t>
      </w:r>
      <w:r w:rsidR="00BE7670" w:rsidRPr="00BE7670">
        <w:t xml:space="preserve">de raadpleger </w:t>
      </w:r>
      <w:r w:rsidR="00BE7670">
        <w:t xml:space="preserve">voor </w:t>
      </w:r>
      <w:r w:rsidR="003A4CF7" w:rsidRPr="003A4CF7">
        <w:t>uniformiteit</w:t>
      </w:r>
      <w:r w:rsidR="00BE7670">
        <w:t>: alle voorbeschermingsregels zijn op dezelfde manier vormgegeven</w:t>
      </w:r>
      <w:r w:rsidR="00F01D22">
        <w:t xml:space="preserve"> en te benaderen. </w:t>
      </w:r>
      <w:r w:rsidR="00F77032">
        <w:t>Verder geldt dat voorbeschermingsregels altijd vervallen</w:t>
      </w:r>
      <w:r w:rsidR="00280357" w:rsidRPr="00280357">
        <w:t>, hetzij door een besluit hetzij door tijdsverloop</w:t>
      </w:r>
      <w:r w:rsidR="00F77032">
        <w:t xml:space="preserve">. </w:t>
      </w:r>
      <w:r w:rsidR="006F6257">
        <w:t>Door</w:t>
      </w:r>
      <w:r w:rsidR="00280357" w:rsidRPr="00280357">
        <w:t xml:space="preserve"> </w:t>
      </w:r>
      <w:r w:rsidR="00847242">
        <w:t>z</w:t>
      </w:r>
      <w:r w:rsidR="00AA6AAC">
        <w:t>e onder</w:t>
      </w:r>
      <w:r w:rsidR="00847242">
        <w:t xml:space="preserve"> te </w:t>
      </w:r>
      <w:r w:rsidR="00AA6AAC">
        <w:t xml:space="preserve">brengen </w:t>
      </w:r>
      <w:r w:rsidR="00280357" w:rsidRPr="00280357">
        <w:t xml:space="preserve">in </w:t>
      </w:r>
      <w:r w:rsidR="006F6257">
        <w:t>het</w:t>
      </w:r>
      <w:r w:rsidR="00280357" w:rsidRPr="00280357">
        <w:t xml:space="preserve"> tijdelijk regelingdeel is </w:t>
      </w:r>
      <w:r w:rsidR="003027C3">
        <w:t xml:space="preserve">het </w:t>
      </w:r>
      <w:r w:rsidR="00A9442B" w:rsidRPr="00A9442B">
        <w:t xml:space="preserve">technisch eenvoudig </w:t>
      </w:r>
      <w:r w:rsidR="00A9442B">
        <w:t>om ze niet meer te laten tonen n</w:t>
      </w:r>
      <w:r w:rsidR="00140364">
        <w:t>a</w:t>
      </w:r>
      <w:r w:rsidR="00A9442B">
        <w:t xml:space="preserve">dat ze zijn </w:t>
      </w:r>
      <w:r w:rsidR="003027C3">
        <w:t>vervallen</w:t>
      </w:r>
      <w:r w:rsidR="00280357" w:rsidRPr="00280357">
        <w:t xml:space="preserve">. </w:t>
      </w:r>
      <w:r w:rsidR="0020585E">
        <w:t>Daardoor volstaat e</w:t>
      </w:r>
      <w:r w:rsidR="00280357" w:rsidRPr="00280357">
        <w:t xml:space="preserve">en beperkte handeling </w:t>
      </w:r>
      <w:r w:rsidR="0020585E">
        <w:t xml:space="preserve">om </w:t>
      </w:r>
      <w:r w:rsidR="00F9784D">
        <w:t xml:space="preserve">de voorbeschermingsregels </w:t>
      </w:r>
      <w:r w:rsidR="00280357" w:rsidRPr="00280357">
        <w:t xml:space="preserve">niet meer zichtbaar </w:t>
      </w:r>
      <w:r w:rsidR="0020585E">
        <w:t xml:space="preserve">te maken </w:t>
      </w:r>
      <w:r w:rsidR="00280357" w:rsidRPr="00280357">
        <w:t xml:space="preserve">in </w:t>
      </w:r>
      <w:r w:rsidR="0020585E">
        <w:t xml:space="preserve">de regelingenbank op overheid.nl en in </w:t>
      </w:r>
      <w:r w:rsidR="00280357" w:rsidRPr="00280357">
        <w:t>DSO-LV. Wanneer de voorbeschermingsregels rechtstreeks</w:t>
      </w:r>
      <w:r w:rsidR="00F9018D">
        <w:t xml:space="preserve"> zouden</w:t>
      </w:r>
      <w:r w:rsidR="00280357" w:rsidRPr="00280357">
        <w:t xml:space="preserve"> zijn opgenomen in de geconsolideerde versie van het omgevingsplan of de omgevingsverordening vraagt dat veel meer van plansoftware en administratie. Dan </w:t>
      </w:r>
      <w:r w:rsidR="00DA4E1C">
        <w:t>zou</w:t>
      </w:r>
      <w:r w:rsidR="00DA4E1C" w:rsidRPr="00280357">
        <w:t xml:space="preserve"> </w:t>
      </w:r>
      <w:r w:rsidR="00280357" w:rsidRPr="00280357">
        <w:t xml:space="preserve">immers </w:t>
      </w:r>
      <w:r w:rsidR="003C4E1B">
        <w:t xml:space="preserve">na het vervallen </w:t>
      </w:r>
      <w:r w:rsidR="00280357" w:rsidRPr="00280357">
        <w:t xml:space="preserve">de volledige verwerking van de voorbeschermingsregels in het omgevingsplan of de omgevingsverordening </w:t>
      </w:r>
      <w:r w:rsidR="00DA4E1C">
        <w:t xml:space="preserve">moeten </w:t>
      </w:r>
      <w:r w:rsidR="00280357" w:rsidRPr="00280357">
        <w:t>worden teruggedraaid, waarbij eventueel ook nog tussentijdse wijzigingsbesluiten een rol kunnen spelen.</w:t>
      </w:r>
      <w:r w:rsidR="00AC5FCE">
        <w:t xml:space="preserve"> </w:t>
      </w:r>
      <w:r w:rsidR="00866ED3" w:rsidRPr="00866ED3">
        <w:t>Daarom is</w:t>
      </w:r>
      <w:r w:rsidR="00A74C51">
        <w:t xml:space="preserve"> </w:t>
      </w:r>
      <w:r w:rsidR="00866ED3" w:rsidRPr="00866ED3">
        <w:t xml:space="preserve">gekozen voor een oplossing die voor </w:t>
      </w:r>
      <w:r w:rsidR="009A51D0">
        <w:t xml:space="preserve">plansoftware en </w:t>
      </w:r>
      <w:r w:rsidR="00866ED3" w:rsidRPr="00866ED3">
        <w:t>de bevoegde gezagen een zo beperkt mogelijk aantal complicaties met zich meebrengt.</w:t>
      </w:r>
    </w:p>
    <w:p w14:paraId="039F771C" w14:textId="77777777" w:rsidR="00426DC0" w:rsidRDefault="00426DC0"/>
    <w:p w14:paraId="79BE85F8" w14:textId="61E1BC6A" w:rsidR="00BC4119" w:rsidRDefault="00426DC0">
      <w:r>
        <w:t xml:space="preserve">Toegepast op </w:t>
      </w:r>
      <w:r w:rsidR="005836F9">
        <w:fldChar w:fldCharType="begin"/>
      </w:r>
      <w:r w:rsidR="005836F9">
        <w:instrText xml:space="preserve"> DOCVARIABLE ID01+ </w:instrText>
      </w:r>
      <w:r w:rsidR="005836F9">
        <w:fldChar w:fldCharType="separate"/>
      </w:r>
      <w:r w:rsidR="006C26A9">
        <w:t>het voorbereidingsbesluit</w:t>
      </w:r>
      <w:r w:rsidR="005836F9">
        <w:fldChar w:fldCharType="end"/>
      </w:r>
      <w:r>
        <w:t xml:space="preserve">, omgevingsplan en omgevingsverordening werkt het </w:t>
      </w:r>
      <w:r w:rsidR="0043570F">
        <w:t>tijdelijk regelingdeel</w:t>
      </w:r>
      <w:r>
        <w:t xml:space="preserve"> als volgt. Voorafgaand aan het nemen van een </w:t>
      </w:r>
      <w:r w:rsidR="005836F9">
        <w:fldChar w:fldCharType="begin"/>
      </w:r>
      <w:r w:rsidR="005836F9">
        <w:instrText xml:space="preserve"> DOCVARIABLE ID01 </w:instrText>
      </w:r>
      <w:r w:rsidR="005836F9">
        <w:fldChar w:fldCharType="separate"/>
      </w:r>
      <w:r w:rsidR="006C26A9">
        <w:t>voorbereidingsbesluit</w:t>
      </w:r>
      <w:r w:rsidR="005836F9">
        <w:fldChar w:fldCharType="end"/>
      </w:r>
      <w:r>
        <w:t xml:space="preserve"> is er een hoofdregeling van omgevingsplan of omgevingsverordening. Een bestuursorgaan van </w:t>
      </w:r>
      <w:r>
        <w:lastRenderedPageBreak/>
        <w:t xml:space="preserve">gemeente, provincie of Rijk neemt een </w:t>
      </w:r>
      <w:r w:rsidR="005836F9">
        <w:fldChar w:fldCharType="begin"/>
      </w:r>
      <w:r w:rsidR="005836F9">
        <w:instrText xml:space="preserve"> DOCVARIABLE ID01 </w:instrText>
      </w:r>
      <w:r w:rsidR="005836F9">
        <w:fldChar w:fldCharType="separate"/>
      </w:r>
      <w:r w:rsidR="006C26A9">
        <w:t>voorbereidingsbesluit</w:t>
      </w:r>
      <w:r w:rsidR="005836F9">
        <w:fldChar w:fldCharType="end"/>
      </w:r>
      <w:r>
        <w:t xml:space="preserve"> </w:t>
      </w:r>
      <w:r w:rsidR="0051270B">
        <w:t xml:space="preserve">en maakt dit </w:t>
      </w:r>
      <w:r w:rsidR="005836F9">
        <w:fldChar w:fldCharType="begin"/>
      </w:r>
      <w:r w:rsidR="005836F9">
        <w:instrText xml:space="preserve"> DOCVARIABLE ID01 </w:instrText>
      </w:r>
      <w:r w:rsidR="005836F9">
        <w:fldChar w:fldCharType="separate"/>
      </w:r>
      <w:r w:rsidR="006C26A9">
        <w:t>voorbereidingsbesluit</w:t>
      </w:r>
      <w:r w:rsidR="005836F9">
        <w:fldChar w:fldCharType="end"/>
      </w:r>
      <w:r w:rsidR="003F4044">
        <w:t xml:space="preserve"> </w:t>
      </w:r>
      <w:r>
        <w:t xml:space="preserve">bekend. De voorbeschermingsregels uit het </w:t>
      </w:r>
      <w:r w:rsidR="005836F9">
        <w:fldChar w:fldCharType="begin"/>
      </w:r>
      <w:r w:rsidR="005836F9">
        <w:instrText xml:space="preserve"> DOCVARIABLE ID01 </w:instrText>
      </w:r>
      <w:r w:rsidR="005836F9">
        <w:fldChar w:fldCharType="separate"/>
      </w:r>
      <w:r w:rsidR="006C26A9">
        <w:t>voorbereidingsbesluit</w:t>
      </w:r>
      <w:r w:rsidR="005836F9">
        <w:fldChar w:fldCharType="end"/>
      </w:r>
      <w:r>
        <w:t xml:space="preserve"> worden niet </w:t>
      </w:r>
      <w:r w:rsidR="00657E4B">
        <w:t xml:space="preserve">verwerkt </w:t>
      </w:r>
      <w:r w:rsidR="008E5E5F">
        <w:t xml:space="preserve">in </w:t>
      </w:r>
      <w:r>
        <w:t xml:space="preserve">de hoofdregeling. Het </w:t>
      </w:r>
      <w:r w:rsidR="005836F9">
        <w:fldChar w:fldCharType="begin"/>
      </w:r>
      <w:r w:rsidR="005836F9">
        <w:instrText xml:space="preserve"> DOCVARIABLE ID01 </w:instrText>
      </w:r>
      <w:r w:rsidR="005836F9">
        <w:fldChar w:fldCharType="separate"/>
      </w:r>
      <w:r w:rsidR="006C26A9">
        <w:t>voorbereidingsbesluit</w:t>
      </w:r>
      <w:r w:rsidR="005836F9">
        <w:fldChar w:fldCharType="end"/>
      </w:r>
      <w:r>
        <w:t xml:space="preserve"> leidt dus niet tot een nieuwe versie van de hoofdregeling; de al aanwezige hoofdregeling op </w:t>
      </w:r>
      <w:r w:rsidR="00E803D5">
        <w:t>overheid.nl</w:t>
      </w:r>
      <w:r>
        <w:t xml:space="preserve"> en in DSO-LV blijft ongewijzigd bestaan. </w:t>
      </w:r>
      <w:r w:rsidR="002C4C39">
        <w:t>Doo</w:t>
      </w:r>
      <w:r w:rsidR="008B7ACD">
        <w:t>r</w:t>
      </w:r>
      <w:r w:rsidR="002C4C39">
        <w:t xml:space="preserve"> het gebruik van het </w:t>
      </w:r>
      <w:r w:rsidR="003B4BB5">
        <w:t>STOP-</w:t>
      </w:r>
      <w:r w:rsidR="002C4C39">
        <w:t xml:space="preserve">tekstmodel </w:t>
      </w:r>
      <w:r w:rsidR="00382927">
        <w:t>RegelingTijdelijkdeel</w:t>
      </w:r>
      <w:r>
        <w:t xml:space="preserve"> </w:t>
      </w:r>
      <w:r w:rsidR="0095737F">
        <w:t xml:space="preserve">ontstaat door </w:t>
      </w:r>
      <w:r w:rsidR="008B7ACD">
        <w:t xml:space="preserve">het </w:t>
      </w:r>
      <w:r w:rsidR="005836F9">
        <w:fldChar w:fldCharType="begin"/>
      </w:r>
      <w:r w:rsidR="005836F9">
        <w:instrText xml:space="preserve"> DOCVARIABLE ID01 </w:instrText>
      </w:r>
      <w:r w:rsidR="005836F9">
        <w:fldChar w:fldCharType="separate"/>
      </w:r>
      <w:r w:rsidR="006C26A9">
        <w:t>voorbereidingsbesluit</w:t>
      </w:r>
      <w:r w:rsidR="005836F9">
        <w:fldChar w:fldCharType="end"/>
      </w:r>
      <w:r>
        <w:t xml:space="preserve"> een nieuw tijdelijk regelingdeel </w:t>
      </w:r>
      <w:r w:rsidR="0095737F">
        <w:t xml:space="preserve">als onderdeel </w:t>
      </w:r>
      <w:r w:rsidR="008B7ACD">
        <w:t xml:space="preserve">van </w:t>
      </w:r>
      <w:r w:rsidR="0095737F">
        <w:t xml:space="preserve">de </w:t>
      </w:r>
      <w:r w:rsidR="00707888">
        <w:t xml:space="preserve">volledige </w:t>
      </w:r>
      <w:r w:rsidR="0095737F">
        <w:t xml:space="preserve">geconsolideerde regeling van </w:t>
      </w:r>
      <w:r w:rsidR="008B7ACD">
        <w:t>omgevingsplan of omgevingsverordening</w:t>
      </w:r>
      <w:r>
        <w:t xml:space="preserve">. Daarin komen </w:t>
      </w:r>
      <w:r w:rsidR="00707888" w:rsidRPr="00707888">
        <w:t xml:space="preserve">de conditie </w:t>
      </w:r>
      <w:r w:rsidR="00151DFF">
        <w:t xml:space="preserve">én </w:t>
      </w:r>
      <w:r>
        <w:t xml:space="preserve">de voorbeschermingsregels </w:t>
      </w:r>
      <w:r w:rsidR="00151DFF">
        <w:t>waarmee het</w:t>
      </w:r>
      <w:r>
        <w:t xml:space="preserve"> </w:t>
      </w:r>
      <w:r w:rsidR="005836F9">
        <w:fldChar w:fldCharType="begin"/>
      </w:r>
      <w:r w:rsidR="005836F9">
        <w:instrText xml:space="preserve"> DOCVARIABLE ID01 </w:instrText>
      </w:r>
      <w:r w:rsidR="005836F9">
        <w:fldChar w:fldCharType="separate"/>
      </w:r>
      <w:r w:rsidR="006C26A9">
        <w:t>voorbereidingsbesluit</w:t>
      </w:r>
      <w:r w:rsidR="005836F9">
        <w:fldChar w:fldCharType="end"/>
      </w:r>
      <w:r>
        <w:t xml:space="preserve"> </w:t>
      </w:r>
      <w:r w:rsidR="00151DFF">
        <w:t>het omgevingsplan of de omgevingsverordening wijzigt</w:t>
      </w:r>
      <w:r>
        <w:t xml:space="preserve">. </w:t>
      </w:r>
      <w:r w:rsidR="002352CC">
        <w:t xml:space="preserve">Het is dus het bestuursorgaan dat het voorbereidingsbesluit neemt dat </w:t>
      </w:r>
      <w:r w:rsidR="002D1E72">
        <w:t>er voor zorgt dat er een nieuw tijdelijk regelingdeel deel gaat uit maken van de geconsolideerde regeling van het omgevingsplan</w:t>
      </w:r>
      <w:r w:rsidR="00C07729">
        <w:t xml:space="preserve"> of de omgevingsverordening</w:t>
      </w:r>
      <w:r w:rsidR="002D1E72">
        <w:t>.</w:t>
      </w:r>
      <w:r w:rsidR="008D29FA">
        <w:t xml:space="preserve"> </w:t>
      </w:r>
      <w:r w:rsidR="003516AC">
        <w:t xml:space="preserve">Dat </w:t>
      </w:r>
      <w:r w:rsidR="00983CD9">
        <w:t xml:space="preserve">doet het door </w:t>
      </w:r>
      <w:r w:rsidR="00231C12">
        <w:t xml:space="preserve">het voorbereidingsbesluit met het tijdelijk regelingdeel aan te </w:t>
      </w:r>
      <w:r w:rsidR="003516AC">
        <w:t>lever</w:t>
      </w:r>
      <w:r w:rsidR="00231C12">
        <w:t>en aan de LVBB.</w:t>
      </w:r>
    </w:p>
    <w:p w14:paraId="6ADA39C3" w14:textId="77777777" w:rsidR="006D4BC6" w:rsidRDefault="006D4BC6" w:rsidP="00CD620D"/>
    <w:p w14:paraId="38A2369D" w14:textId="114DA5B1" w:rsidR="00A55A52" w:rsidRDefault="00096149" w:rsidP="00CD620D">
      <w:r w:rsidRPr="00096149">
        <w:t xml:space="preserve">Ieder voorbereidingsbesluit </w:t>
      </w:r>
      <w:r w:rsidR="00F365D2">
        <w:t>stelt</w:t>
      </w:r>
      <w:r w:rsidRPr="00096149">
        <w:t xml:space="preserve"> een afzonderlijk tijdelijk regelingdeel</w:t>
      </w:r>
      <w:r w:rsidR="0050109A">
        <w:t xml:space="preserve"> </w:t>
      </w:r>
      <w:r w:rsidR="00F365D2">
        <w:t xml:space="preserve">in </w:t>
      </w:r>
      <w:r w:rsidR="0050109A">
        <w:t xml:space="preserve">als onderdeel van de geconsolideerde regeling van </w:t>
      </w:r>
      <w:r w:rsidR="00B9672C">
        <w:t>een</w:t>
      </w:r>
      <w:r w:rsidR="0050109A">
        <w:t xml:space="preserve"> omgevingsplan of omgevingsverordening</w:t>
      </w:r>
      <w:r w:rsidRPr="00096149">
        <w:t xml:space="preserve">. </w:t>
      </w:r>
      <w:r w:rsidR="00E14CE1">
        <w:t xml:space="preserve">Er is dus niet per </w:t>
      </w:r>
      <w:r w:rsidR="000D745F">
        <w:t xml:space="preserve">omgevingsplan c.q. omgevingsverordening </w:t>
      </w:r>
      <w:r w:rsidR="000D745F" w:rsidRPr="000D745F">
        <w:t>één tijdelijk regelingdeel waarin de regels vanuit alle voorbereidingsbesluiten worden opgenomen.</w:t>
      </w:r>
      <w:r w:rsidRPr="00096149">
        <w:t xml:space="preserve"> </w:t>
      </w:r>
      <w:r w:rsidR="00A0157D" w:rsidRPr="00A0157D">
        <w:t>In het geval van voorbereidingsbesluiten die het omgevingsplan wijzigen met voorbeschermingsregels kunnen de tijdelijk regelingdelen afkomstig zijn van voorbereidingsbesluiten genomen door verschillende bevoegde gezagen</w:t>
      </w:r>
      <w:r w:rsidR="00290114">
        <w:t xml:space="preserve">: de gemeente zelf, de provincie </w:t>
      </w:r>
      <w:r w:rsidR="00D37EE2">
        <w:t>en</w:t>
      </w:r>
      <w:r w:rsidR="00290114">
        <w:t xml:space="preserve"> het Rijk</w:t>
      </w:r>
      <w:r w:rsidR="00A0157D" w:rsidRPr="00A0157D">
        <w:t>.</w:t>
      </w:r>
    </w:p>
    <w:p w14:paraId="474BA6E3" w14:textId="77777777" w:rsidR="00317962" w:rsidRDefault="00317962"/>
    <w:p w14:paraId="06801A1D" w14:textId="0124515C" w:rsidR="005F6A08" w:rsidRDefault="00EA2686">
      <w:r>
        <w:t>E</w:t>
      </w:r>
      <w:r w:rsidR="008602BD">
        <w:t xml:space="preserve">r </w:t>
      </w:r>
      <w:r>
        <w:t xml:space="preserve">zijn </w:t>
      </w:r>
      <w:r w:rsidR="0034224A">
        <w:t>voorbereidingsbesluit</w:t>
      </w:r>
      <w:r w:rsidR="00AF27BA">
        <w:t>en</w:t>
      </w:r>
      <w:r w:rsidR="0034224A">
        <w:t xml:space="preserve"> </w:t>
      </w:r>
      <w:r w:rsidR="008602BD">
        <w:t xml:space="preserve">die </w:t>
      </w:r>
      <w:r w:rsidR="00BF4C28">
        <w:t>het omgevingsplan van één gemeente of de omgevingsverordening van één provincie wijzig</w:t>
      </w:r>
      <w:r w:rsidR="008602BD">
        <w:t>en</w:t>
      </w:r>
      <w:r w:rsidR="00BF4C28">
        <w:t xml:space="preserve"> met voorbeschermingsregels</w:t>
      </w:r>
      <w:r w:rsidR="008602BD">
        <w:t xml:space="preserve">. </w:t>
      </w:r>
      <w:r w:rsidR="00A25FF5">
        <w:t>Visueel gemaakt i</w:t>
      </w:r>
      <w:r w:rsidR="005F6A08" w:rsidRPr="00EA004F">
        <w:t xml:space="preserve">n een kaartbeeld </w:t>
      </w:r>
      <w:r w:rsidR="00C70D85">
        <w:t>zoals dat in bijvoorbeeld DSO-LV</w:t>
      </w:r>
      <w:r w:rsidR="00A25FF5">
        <w:t xml:space="preserve"> te zien kan zijn</w:t>
      </w:r>
      <w:r w:rsidR="00730FFE">
        <w:t>,</w:t>
      </w:r>
      <w:r w:rsidR="00A25FF5">
        <w:t xml:space="preserve"> </w:t>
      </w:r>
      <w:r w:rsidR="005F6A08" w:rsidRPr="00EA004F">
        <w:t>ziet dat eruit</w:t>
      </w:r>
      <w:r w:rsidR="005F6A08">
        <w:t xml:space="preserve"> als weergegeven in </w:t>
      </w:r>
      <w:r w:rsidR="008C1969" w:rsidRPr="00305F68">
        <w:rPr>
          <w:rStyle w:val="Verwijzing"/>
        </w:rPr>
        <w:fldChar w:fldCharType="begin"/>
      </w:r>
      <w:r w:rsidR="008C1969" w:rsidRPr="00305F68">
        <w:rPr>
          <w:rStyle w:val="Verwijzing"/>
        </w:rPr>
        <w:instrText xml:space="preserve"> REF _Ref_464454442f1e1f15629d9e4f7f9ec59d_3 \n \h </w:instrText>
      </w:r>
      <w:r w:rsidR="008C1969" w:rsidRPr="00305F68">
        <w:rPr>
          <w:rStyle w:val="Verwijzing"/>
        </w:rPr>
      </w:r>
      <w:r w:rsidR="008C1969" w:rsidRPr="00305F68">
        <w:rPr>
          <w:rStyle w:val="Verwijzing"/>
        </w:rPr>
        <w:fldChar w:fldCharType="separate"/>
      </w:r>
      <w:r w:rsidR="006C26A9">
        <w:rPr>
          <w:rStyle w:val="Verwijzing"/>
        </w:rPr>
        <w:t>Figuur 2</w:t>
      </w:r>
      <w:r w:rsidR="008C1969" w:rsidRPr="00305F68">
        <w:rPr>
          <w:rStyle w:val="Verwijzing"/>
        </w:rPr>
        <w:fldChar w:fldCharType="end"/>
      </w:r>
      <w:r w:rsidR="00FF1325" w:rsidRPr="00FF1325">
        <w:t>.</w:t>
      </w:r>
    </w:p>
    <w:p w14:paraId="7B766C06" w14:textId="2F09EC8A" w:rsidR="005F6A08" w:rsidRDefault="000A64FA">
      <w:pPr>
        <w:pStyle w:val="Figuur"/>
      </w:pPr>
      <w:r>
        <w:rPr>
          <w:noProof/>
        </w:rPr>
        <w:lastRenderedPageBreak/>
        <w:drawing>
          <wp:inline distT="0" distB="0" distL="0" distR="0" wp14:anchorId="2AC443AC" wp14:editId="3A3B5D74">
            <wp:extent cx="5400040" cy="3247390"/>
            <wp:effectExtent l="0" t="0" r="0" b="0"/>
            <wp:docPr id="25" name="Afbeelding 25" descr="Afbeelding me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25" descr="Afbeelding met kaart&#10;&#10;Automatisch gegenereerde beschrijving"/>
                    <pic:cNvPicPr/>
                  </pic:nvPicPr>
                  <pic:blipFill>
                    <a:blip r:embed="rId22"/>
                    <a:stretch>
                      <a:fillRect/>
                    </a:stretch>
                  </pic:blipFill>
                  <pic:spPr>
                    <a:xfrm>
                      <a:off x="0" y="0"/>
                      <a:ext cx="5400040" cy="3247390"/>
                    </a:xfrm>
                    <a:prstGeom prst="rect">
                      <a:avLst/>
                    </a:prstGeom>
                  </pic:spPr>
                </pic:pic>
              </a:graphicData>
            </a:graphic>
          </wp:inline>
        </w:drawing>
      </w:r>
    </w:p>
    <w:p w14:paraId="75EB13E9" w14:textId="6AE8C839" w:rsidR="006C26A9" w:rsidRDefault="005F6A08">
      <w:pPr>
        <w:pStyle w:val="Figuurbijschrift"/>
      </w:pPr>
      <w:r w:rsidRPr="00243062">
        <w:tab/>
      </w:r>
      <w:bookmarkStart w:id="29" w:name="_Ref_464454442f1e1f15629d9e4f7f9ec59d_2"/>
      <w:bookmarkStart w:id="30" w:name="_Ref_464454442f1e1f15629d9e4f7f9ec59d_3"/>
      <w:r w:rsidR="00870578" w:rsidRPr="00870578">
        <w:t xml:space="preserve">Schematisch kaartbeeld van </w:t>
      </w:r>
      <w:r w:rsidR="00965F60" w:rsidRPr="00965F60">
        <w:t xml:space="preserve">één </w:t>
      </w:r>
      <w:r w:rsidR="00EC7054">
        <w:t xml:space="preserve">gemeente of provincie: </w:t>
      </w:r>
      <w:r w:rsidR="00870578" w:rsidRPr="00870578">
        <w:t xml:space="preserve">geconsolideerde regeling </w:t>
      </w:r>
      <w:r w:rsidR="00B91D44" w:rsidRPr="00B91D44">
        <w:t>van omgevingsplan of omgevings</w:t>
      </w:r>
      <w:r w:rsidR="00EC7054">
        <w:t>ver</w:t>
      </w:r>
      <w:r w:rsidR="00B91D44" w:rsidRPr="00B91D44">
        <w:t>ordening</w:t>
      </w:r>
      <w:r w:rsidR="00E73F2A">
        <w:t>, bestaande</w:t>
      </w:r>
      <w:r w:rsidR="00B91D44" w:rsidRPr="00B91D44">
        <w:t xml:space="preserve"> </w:t>
      </w:r>
      <w:r w:rsidR="00870578" w:rsidRPr="00870578">
        <w:t>uit hoofdregeling en tijdelijk regelingd</w:t>
      </w:r>
      <w:r w:rsidR="00DC2307">
        <w:t>eel/tijdelijk regelingdelen</w:t>
      </w:r>
      <w:bookmarkEnd w:id="29"/>
      <w:bookmarkEnd w:id="30"/>
    </w:p>
    <w:p w14:paraId="5CC5F15A" w14:textId="5667CB41" w:rsidR="00712F87" w:rsidRDefault="00CD7ACC">
      <w:r w:rsidRPr="00305F68">
        <w:rPr>
          <w:rStyle w:val="Verwijzing"/>
        </w:rPr>
        <w:fldChar w:fldCharType="begin"/>
      </w:r>
      <w:r w:rsidRPr="00305F68">
        <w:rPr>
          <w:rStyle w:val="Verwijzing"/>
        </w:rPr>
        <w:instrText xml:space="preserve"> REF _Ref_464454442f1e1f15629d9e4f7f9ec59d_3 \n \h </w:instrText>
      </w:r>
      <w:r w:rsidRPr="00305F68">
        <w:rPr>
          <w:rStyle w:val="Verwijzing"/>
        </w:rPr>
      </w:r>
      <w:r w:rsidRPr="00305F68">
        <w:rPr>
          <w:rStyle w:val="Verwijzing"/>
        </w:rPr>
        <w:fldChar w:fldCharType="separate"/>
      </w:r>
      <w:r w:rsidR="006C26A9">
        <w:rPr>
          <w:rStyle w:val="Verwijzing"/>
        </w:rPr>
        <w:t>Figuur 2</w:t>
      </w:r>
      <w:r w:rsidRPr="00305F68">
        <w:rPr>
          <w:rStyle w:val="Verwijzing"/>
        </w:rPr>
        <w:fldChar w:fldCharType="end"/>
      </w:r>
      <w:r w:rsidR="00401389">
        <w:t xml:space="preserve"> </w:t>
      </w:r>
      <w:r w:rsidR="00E44CD3">
        <w:t xml:space="preserve">kan gezien worden als </w:t>
      </w:r>
      <w:r w:rsidR="00401389">
        <w:t>visua</w:t>
      </w:r>
      <w:r w:rsidR="00567C7F">
        <w:t>lis</w:t>
      </w:r>
      <w:r w:rsidR="00E44CD3">
        <w:t>atie van</w:t>
      </w:r>
      <w:r w:rsidR="00567C7F">
        <w:t xml:space="preserve"> verschillende mogelijkheden:</w:t>
      </w:r>
    </w:p>
    <w:p w14:paraId="62501DF4" w14:textId="30C901F5" w:rsidR="009834E4" w:rsidRPr="008C3909" w:rsidRDefault="009311CE">
      <w:pPr>
        <w:pStyle w:val="Opsommingtekens1"/>
      </w:pPr>
      <w:r w:rsidRPr="008C3909">
        <w:t xml:space="preserve">er </w:t>
      </w:r>
      <w:r w:rsidR="00A03A79" w:rsidRPr="008C3909">
        <w:t xml:space="preserve">zijn drie voorbereidingsbesluiten genomen, ieder voorbereidingsbesluit heeft een </w:t>
      </w:r>
      <w:r w:rsidR="003D55C5" w:rsidRPr="008C3909">
        <w:t xml:space="preserve">tijdelijk regelingdeel dat geldt voor een </w:t>
      </w:r>
      <w:r w:rsidR="00A03A79" w:rsidRPr="008C3909">
        <w:t>eigen gebied</w:t>
      </w:r>
      <w:r w:rsidR="00B758A6" w:rsidRPr="008C3909">
        <w:t>;</w:t>
      </w:r>
    </w:p>
    <w:p w14:paraId="47D7F563" w14:textId="02364D0E" w:rsidR="00FC0CC8" w:rsidRPr="008C3909" w:rsidRDefault="00BA35BB">
      <w:pPr>
        <w:pStyle w:val="Opsommingtekens1"/>
      </w:pPr>
      <w:r w:rsidRPr="008C3909">
        <w:t>er is één voorbereidingsbesluit genomen</w:t>
      </w:r>
      <w:r w:rsidR="00327CD1" w:rsidRPr="008C3909">
        <w:t>,</w:t>
      </w:r>
      <w:r w:rsidRPr="008C3909">
        <w:t xml:space="preserve"> dat </w:t>
      </w:r>
      <w:r w:rsidR="00327CD1" w:rsidRPr="008C3909">
        <w:t xml:space="preserve">voorbereidingsbesluit heeft één tijdelijk regelingdeel dat </w:t>
      </w:r>
      <w:r w:rsidR="00966237" w:rsidRPr="008C3909">
        <w:t xml:space="preserve">geldt voor </w:t>
      </w:r>
      <w:r w:rsidRPr="008C3909">
        <w:t>drie gebieden</w:t>
      </w:r>
      <w:r w:rsidR="00B758A6" w:rsidRPr="008C3909">
        <w:t>;</w:t>
      </w:r>
    </w:p>
    <w:p w14:paraId="07EB287C" w14:textId="7836D1B3" w:rsidR="00FC0CC8" w:rsidRPr="008C3909" w:rsidRDefault="006D6704">
      <w:pPr>
        <w:pStyle w:val="Opsommingtekens1"/>
      </w:pPr>
      <w:r w:rsidRPr="008C3909">
        <w:t xml:space="preserve">er zijn twee voorbereidingsbesluiten genomen, het eerste </w:t>
      </w:r>
      <w:r w:rsidR="00966237" w:rsidRPr="008C3909">
        <w:t xml:space="preserve">voorbereidingsbesluit heeft een tijdelijk regelingdeel dat geldt voor </w:t>
      </w:r>
      <w:r w:rsidRPr="008C3909">
        <w:t xml:space="preserve">twee gebieden, het tweede </w:t>
      </w:r>
      <w:r w:rsidR="00966237" w:rsidRPr="008C3909">
        <w:t xml:space="preserve">voorbereidingsbesluit heeft een tijdelijk regelingdeel dat geldt voor </w:t>
      </w:r>
      <w:r w:rsidRPr="008C3909">
        <w:t>één gebied</w:t>
      </w:r>
      <w:r w:rsidR="00FF634E" w:rsidRPr="008C3909">
        <w:t>.</w:t>
      </w:r>
    </w:p>
    <w:p w14:paraId="5897C05B" w14:textId="5AF4C870" w:rsidR="00712F87" w:rsidRDefault="009B66DE">
      <w:r>
        <w:t>NB</w:t>
      </w:r>
      <w:r w:rsidR="00400B67">
        <w:t>1</w:t>
      </w:r>
      <w:r>
        <w:t xml:space="preserve">: </w:t>
      </w:r>
      <w:r w:rsidR="00E454E6" w:rsidRPr="00E454E6">
        <w:t xml:space="preserve">ook </w:t>
      </w:r>
      <w:r w:rsidR="00456825">
        <w:t xml:space="preserve">projectbesluit en </w:t>
      </w:r>
      <w:r w:rsidR="00E454E6" w:rsidRPr="00E454E6">
        <w:t xml:space="preserve">reactieve interventie </w:t>
      </w:r>
      <w:r w:rsidR="002B6185" w:rsidRPr="002B6185">
        <w:t xml:space="preserve">(het besluit </w:t>
      </w:r>
      <w:r w:rsidR="002B6185">
        <w:t xml:space="preserve">van GS </w:t>
      </w:r>
      <w:r w:rsidR="002B6185" w:rsidRPr="002B6185">
        <w:t>op grond van artikel 16.21 Ow dat een onderdeel van een besluit tot wijziging van het omgevingsplan geen deel uitmaakt van dat omgevingsplan</w:t>
      </w:r>
      <w:r w:rsidR="002B6185">
        <w:t>)</w:t>
      </w:r>
      <w:r w:rsidR="002B6185" w:rsidRPr="002B6185">
        <w:t xml:space="preserve"> </w:t>
      </w:r>
      <w:r w:rsidR="00456825">
        <w:t xml:space="preserve">stellen </w:t>
      </w:r>
      <w:r w:rsidR="00E454E6" w:rsidRPr="00E454E6">
        <w:t>tijdelijk regelingde</w:t>
      </w:r>
      <w:r w:rsidR="00456825">
        <w:t>len in.</w:t>
      </w:r>
      <w:r w:rsidR="00E454E6" w:rsidRPr="00E454E6">
        <w:t xml:space="preserve"> </w:t>
      </w:r>
      <w:r w:rsidR="00456825">
        <w:t xml:space="preserve">Het </w:t>
      </w:r>
      <w:r w:rsidR="003637F3">
        <w:t xml:space="preserve">kaartbeeld van </w:t>
      </w:r>
      <w:r w:rsidR="003637F3">
        <w:fldChar w:fldCharType="begin"/>
      </w:r>
      <w:r w:rsidR="003637F3">
        <w:instrText xml:space="preserve"> REF _Ref_464454442f1e1f15629d9e4f7f9ec59d_2 \n \h </w:instrText>
      </w:r>
      <w:r w:rsidR="003637F3">
        <w:fldChar w:fldCharType="separate"/>
      </w:r>
      <w:r w:rsidR="006C26A9">
        <w:t>Figuur 2</w:t>
      </w:r>
      <w:r w:rsidR="003637F3">
        <w:fldChar w:fldCharType="end"/>
      </w:r>
      <w:r w:rsidR="00E454E6" w:rsidRPr="00E454E6">
        <w:t xml:space="preserve"> </w:t>
      </w:r>
      <w:r w:rsidR="003637F3">
        <w:t xml:space="preserve">kan dus </w:t>
      </w:r>
      <w:r w:rsidR="00E454E6" w:rsidRPr="00E454E6">
        <w:t xml:space="preserve">ook </w:t>
      </w:r>
      <w:r w:rsidR="0030435A">
        <w:t xml:space="preserve">een combinatie </w:t>
      </w:r>
      <w:r w:rsidR="00E454E6" w:rsidRPr="00E454E6">
        <w:t xml:space="preserve">van </w:t>
      </w:r>
      <w:r w:rsidR="00A87DEF">
        <w:t xml:space="preserve">tijdelijk regelingdelen uit </w:t>
      </w:r>
      <w:r w:rsidR="00E454E6" w:rsidRPr="00E454E6">
        <w:t>voorbereidingsbesluit</w:t>
      </w:r>
      <w:r w:rsidR="0030435A">
        <w:t xml:space="preserve">, </w:t>
      </w:r>
      <w:r w:rsidR="00E454E6" w:rsidRPr="00E454E6">
        <w:t>reactieve interventie</w:t>
      </w:r>
      <w:r w:rsidR="0030435A">
        <w:t xml:space="preserve"> en/of projectbesluit weergeven</w:t>
      </w:r>
      <w:r w:rsidR="00E454E6" w:rsidRPr="00E454E6">
        <w:t>.</w:t>
      </w:r>
    </w:p>
    <w:p w14:paraId="6A859017" w14:textId="50BB52ED" w:rsidR="00D706D2" w:rsidRDefault="00400B67">
      <w:r>
        <w:t xml:space="preserve">NB2: </w:t>
      </w:r>
      <w:r w:rsidR="009F65BC">
        <w:t xml:space="preserve">voor </w:t>
      </w:r>
      <w:r w:rsidR="009B35C8">
        <w:t xml:space="preserve">tijdelijk regelingdelen die </w:t>
      </w:r>
      <w:r w:rsidR="00E26443">
        <w:t xml:space="preserve">een deel van het </w:t>
      </w:r>
      <w:r w:rsidR="009F65BC" w:rsidRPr="009F65BC">
        <w:t xml:space="preserve">grondgebied van een gemeente of provincie </w:t>
      </w:r>
      <w:r w:rsidR="009551D3">
        <w:t>betreffen, is het noodzakelijk om in de tekst</w:t>
      </w:r>
      <w:r w:rsidR="00321DF6">
        <w:t xml:space="preserve"> </w:t>
      </w:r>
      <w:r w:rsidR="00CF3B54">
        <w:t xml:space="preserve">van de voorbeschermingsregels </w:t>
      </w:r>
      <w:r w:rsidR="00321DF6">
        <w:t xml:space="preserve">en met behulp van Locaties, IMOW-annotaties en </w:t>
      </w:r>
      <w:r w:rsidR="00F93C70">
        <w:t xml:space="preserve">geografische informatieobjecten </w:t>
      </w:r>
      <w:r w:rsidR="006C1297">
        <w:t xml:space="preserve">vast te leggen </w:t>
      </w:r>
      <w:r w:rsidR="00CF3B54">
        <w:t xml:space="preserve">voor welk </w:t>
      </w:r>
      <w:r w:rsidR="00826433">
        <w:t>gebied ze gelden. U</w:t>
      </w:r>
      <w:r w:rsidR="008C3909" w:rsidRPr="008C3909">
        <w:t>iteraard is het ook mogelijk dat een voorbereidingsbesluit (en dus ook een tijdelijk regelingdeel) geldt voor het hele grondgebied van een gemeente of provincie.</w:t>
      </w:r>
    </w:p>
    <w:p w14:paraId="34B22D29" w14:textId="0F43CD30" w:rsidR="009B66DE" w:rsidRDefault="009B66DE"/>
    <w:p w14:paraId="372366D5" w14:textId="7A83C75C" w:rsidR="00E905EF" w:rsidRDefault="00520FD2">
      <w:r>
        <w:t>Opgemerkt wordt</w:t>
      </w:r>
      <w:r w:rsidR="003A1F59">
        <w:t xml:space="preserve"> dat er </w:t>
      </w:r>
      <w:r w:rsidR="00C61495">
        <w:t>toepasbare regels kunnen zijn bij regels uit de hoofdregeling die door het voorbereidingsbesluit</w:t>
      </w:r>
      <w:r w:rsidR="00B3602C">
        <w:t xml:space="preserve"> zijn gewijzigd</w:t>
      </w:r>
      <w:r w:rsidR="00DE5FA6">
        <w:t xml:space="preserve">. Als die toepasbare regels </w:t>
      </w:r>
      <w:r w:rsidR="004D54BA">
        <w:t xml:space="preserve">in de </w:t>
      </w:r>
      <w:r w:rsidR="00D6256C">
        <w:t>Vergunningcheck- en Aanvraagmodules van DSO-LV aanwezig blijven, k</w:t>
      </w:r>
      <w:r w:rsidR="00D93D6B">
        <w:t>rijgt</w:t>
      </w:r>
      <w:r w:rsidR="00D6256C">
        <w:t xml:space="preserve"> een raadpleger</w:t>
      </w:r>
      <w:r w:rsidR="00D93D6B">
        <w:t xml:space="preserve"> </w:t>
      </w:r>
      <w:r w:rsidR="00D93D6B">
        <w:lastRenderedPageBreak/>
        <w:t xml:space="preserve">onjuiste informatie. </w:t>
      </w:r>
      <w:r w:rsidR="007530D5">
        <w:t>Wanneer er zowel</w:t>
      </w:r>
      <w:r w:rsidR="00164FC7">
        <w:t xml:space="preserve"> bij de hoofdregeling als bij het tijdelijk regelingdeel toepasbare regels zijn, krijgt een raadpleger dubbele informatie die deels juist en deels onjuist is. </w:t>
      </w:r>
      <w:r w:rsidR="00EA437F">
        <w:t>Er zullen bestuurlijke afspraken moeten worden gemaakt hoe hiermee omgegaan moet worden</w:t>
      </w:r>
      <w:r w:rsidR="0037025C">
        <w:t>.</w:t>
      </w:r>
    </w:p>
    <w:p w14:paraId="625C700F" w14:textId="77777777" w:rsidR="00E905EF" w:rsidRDefault="00E905EF"/>
    <w:p w14:paraId="76A894B4" w14:textId="36A15982" w:rsidR="009B66DE" w:rsidRDefault="009B66DE">
      <w:r w:rsidRPr="009B66DE">
        <w:t xml:space="preserve">Wanneer een voorbereidingsbesluit van Rijk of provincie de omgevingsplannen van meerdere gemeenten wijzigt, moet bij het voorbereidingsbesluit per gemeente een afzonderlijk tijdelijk regelingdeel met voorbeschermingsregels worden aangeleverd. Als bijvoorbeeld de provincie Noord-Brabant een voorbereidingsbesluit neemt dat geldt voor alle gemeenten in de provincie, moet ze aan de LVBB een voorbereidingsbesluit met </w:t>
      </w:r>
      <w:r w:rsidR="00325875">
        <w:t>5</w:t>
      </w:r>
      <w:r w:rsidRPr="009B66DE">
        <w:t>6</w:t>
      </w:r>
      <w:r w:rsidR="00BC1059">
        <w:t xml:space="preserve"> </w:t>
      </w:r>
      <w:r w:rsidR="00BC1059" w:rsidRPr="00BC1059">
        <w:t>tijdelijk regelingdelen</w:t>
      </w:r>
      <w:r w:rsidR="00C27F2E">
        <w:rPr>
          <w:rStyle w:val="Voetnootmarkering"/>
        </w:rPr>
        <w:footnoteReference w:id="7"/>
      </w:r>
      <w:r w:rsidRPr="009B66DE">
        <w:t xml:space="preserve"> aanleveren.</w:t>
      </w:r>
      <w:r w:rsidR="00E93F82">
        <w:t xml:space="preserve"> </w:t>
      </w:r>
      <w:r w:rsidR="00E93F82" w:rsidRPr="00305F68">
        <w:rPr>
          <w:rStyle w:val="Verwijzing"/>
        </w:rPr>
        <w:fldChar w:fldCharType="begin"/>
      </w:r>
      <w:r w:rsidR="00E93F82" w:rsidRPr="00305F68">
        <w:rPr>
          <w:rStyle w:val="Verwijzing"/>
        </w:rPr>
        <w:instrText xml:space="preserve"> REF _Ref_464454442f1e1f15629d9e4f7f9ec59d_4 \n \h </w:instrText>
      </w:r>
      <w:r w:rsidR="00E93F82" w:rsidRPr="00305F68">
        <w:rPr>
          <w:rStyle w:val="Verwijzing"/>
        </w:rPr>
      </w:r>
      <w:r w:rsidR="00E93F82" w:rsidRPr="00305F68">
        <w:rPr>
          <w:rStyle w:val="Verwijzing"/>
        </w:rPr>
        <w:fldChar w:fldCharType="separate"/>
      </w:r>
      <w:r w:rsidR="006C26A9">
        <w:rPr>
          <w:rStyle w:val="Verwijzing"/>
        </w:rPr>
        <w:t>Figuur 3</w:t>
      </w:r>
      <w:r w:rsidR="00E93F82" w:rsidRPr="00305F68">
        <w:rPr>
          <w:rStyle w:val="Verwijzing"/>
        </w:rPr>
        <w:fldChar w:fldCharType="end"/>
      </w:r>
      <w:r w:rsidR="00E93F82">
        <w:t xml:space="preserve"> </w:t>
      </w:r>
      <w:r w:rsidR="00636F36">
        <w:t xml:space="preserve">laat, in de vorm van een schematisch kaartbeeld, een voorbeeld zien van een voorbereidingsbesluit </w:t>
      </w:r>
      <w:r w:rsidR="00AE668C">
        <w:t>gericht op de voorbereiding van een pr</w:t>
      </w:r>
      <w:r w:rsidR="0053372B">
        <w:t>o</w:t>
      </w:r>
      <w:r w:rsidR="00AE668C">
        <w:t xml:space="preserve">jectbesluit </w:t>
      </w:r>
      <w:r w:rsidR="0053372B">
        <w:t xml:space="preserve">dat voorziet in de aanleg van een provinciale weg </w:t>
      </w:r>
      <w:r w:rsidR="00376E18">
        <w:t>over het grondgebied van drie gemeenten</w:t>
      </w:r>
      <w:r w:rsidR="005E1C45">
        <w:t>.</w:t>
      </w:r>
      <w:r w:rsidR="00376E18">
        <w:t xml:space="preserve"> </w:t>
      </w:r>
      <w:r w:rsidR="005E1C45">
        <w:t>B</w:t>
      </w:r>
      <w:r w:rsidR="006971B9">
        <w:t xml:space="preserve">ij het voorbereidingsbesluit </w:t>
      </w:r>
      <w:r w:rsidR="001D668D">
        <w:t xml:space="preserve">wordt </w:t>
      </w:r>
      <w:r w:rsidR="00EF6DB5">
        <w:t xml:space="preserve">voor </w:t>
      </w:r>
      <w:r w:rsidR="005D31C9">
        <w:t xml:space="preserve">het omgevingsplan van </w:t>
      </w:r>
      <w:r w:rsidR="00EF6DB5">
        <w:t xml:space="preserve">iedere gemeente een afzonderlijk </w:t>
      </w:r>
      <w:r w:rsidR="00EF6DB5" w:rsidRPr="00EF6DB5">
        <w:t>tijdelijk regelingde</w:t>
      </w:r>
      <w:r w:rsidR="00EF6DB5">
        <w:t>e</w:t>
      </w:r>
      <w:r w:rsidR="00EF6DB5" w:rsidRPr="00EF6DB5">
        <w:t xml:space="preserve">l </w:t>
      </w:r>
      <w:r w:rsidR="006971B9">
        <w:t>aangeleverd</w:t>
      </w:r>
      <w:r w:rsidR="00EF6DB5">
        <w:t xml:space="preserve">; in totaal zijn er </w:t>
      </w:r>
      <w:r w:rsidR="004321C3">
        <w:t xml:space="preserve">bij dit voorbereidingsbesluit </w:t>
      </w:r>
      <w:r w:rsidR="00EF6DB5">
        <w:t xml:space="preserve">dus </w:t>
      </w:r>
      <w:r w:rsidR="00EF6DB5" w:rsidRPr="00EF6DB5">
        <w:t>drie tijdelijk regelingdelen</w:t>
      </w:r>
      <w:r w:rsidR="00EF6DB5">
        <w:t>.</w:t>
      </w:r>
    </w:p>
    <w:p w14:paraId="51CE0E98" w14:textId="67E5431F" w:rsidR="005423C0" w:rsidRDefault="0065170B">
      <w:pPr>
        <w:pStyle w:val="Figuur"/>
      </w:pPr>
      <w:r>
        <w:rPr>
          <w:noProof/>
        </w:rPr>
        <w:drawing>
          <wp:inline distT="0" distB="0" distL="0" distR="0" wp14:anchorId="614CDC65" wp14:editId="673A3AEB">
            <wp:extent cx="5400040" cy="3178175"/>
            <wp:effectExtent l="0" t="0" r="0" b="3175"/>
            <wp:docPr id="26" name="Afbeelding 26" descr="Afbeelding me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fbeelding 26" descr="Afbeelding met kaart&#10;&#10;Automatisch gegenereerde beschrijving"/>
                    <pic:cNvPicPr/>
                  </pic:nvPicPr>
                  <pic:blipFill>
                    <a:blip r:embed="rId23"/>
                    <a:stretch>
                      <a:fillRect/>
                    </a:stretch>
                  </pic:blipFill>
                  <pic:spPr>
                    <a:xfrm>
                      <a:off x="0" y="0"/>
                      <a:ext cx="5400040" cy="3178175"/>
                    </a:xfrm>
                    <a:prstGeom prst="rect">
                      <a:avLst/>
                    </a:prstGeom>
                  </pic:spPr>
                </pic:pic>
              </a:graphicData>
            </a:graphic>
          </wp:inline>
        </w:drawing>
      </w:r>
    </w:p>
    <w:p w14:paraId="3A99D479" w14:textId="13836B24" w:rsidR="008C4149" w:rsidRPr="008C4149" w:rsidRDefault="00396856">
      <w:pPr>
        <w:pStyle w:val="Figuurbijschrift"/>
      </w:pPr>
      <w:bookmarkStart w:id="31" w:name="_Ref_464454442f1e1f15629d9e4f7f9ec59d_4"/>
      <w:r w:rsidRPr="00396856">
        <w:t>Schematisch kaartbeeld van</w:t>
      </w:r>
      <w:r w:rsidR="00434D83">
        <w:t xml:space="preserve"> </w:t>
      </w:r>
      <w:r w:rsidR="00AA60D7">
        <w:t xml:space="preserve">de </w:t>
      </w:r>
      <w:r w:rsidR="00496ED2">
        <w:t>drie</w:t>
      </w:r>
      <w:r w:rsidRPr="00396856">
        <w:t xml:space="preserve"> tijdelijk regelingdelen </w:t>
      </w:r>
      <w:r w:rsidR="00612B1B">
        <w:t xml:space="preserve">voor </w:t>
      </w:r>
      <w:r w:rsidR="00CE4F84">
        <w:t xml:space="preserve">de omgevingsplannen van drie </w:t>
      </w:r>
      <w:r w:rsidRPr="00396856">
        <w:t>gemeente</w:t>
      </w:r>
      <w:r w:rsidR="00612B1B">
        <w:t>n</w:t>
      </w:r>
      <w:bookmarkEnd w:id="31"/>
      <w:r w:rsidR="00AA60D7">
        <w:t xml:space="preserve"> van </w:t>
      </w:r>
      <w:r w:rsidR="00AA60D7" w:rsidRPr="00AA60D7">
        <w:t>één voorbereidingsbesluit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 Id="rId22" Type="http://schemas.openxmlformats.org/officeDocument/2006/relationships/image" Target="media/image_590529946db663f14d845216adab89da.png"/><Relationship Id="rId23" Type="http://schemas.openxmlformats.org/officeDocument/2006/relationships/image" Target="media/image_19de8a7fc9b4989e34ba0c53649db418.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