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EA04" w14:textId="0EBEAF8B" w:rsidR="00E33EDD" w:rsidRPr="00F62F31" w:rsidRDefault="00E33EDD" w:rsidP="00805135">
      <w:pPr>
        <w:pStyle w:val="Kop3"/>
      </w:pPr>
      <w:r w:rsidRPr="00F62F31">
        <w:t>O</w:t>
      </w:r>
      <w:r w:rsidR="008222F0">
        <w:t>vergangsrecht en o</w:t>
      </w:r>
      <w:r w:rsidRPr="00F62F31">
        <w:t>vergangsfase</w:t>
      </w:r>
      <w:bookmarkEnd w:id="38"/>
    </w:p>
    <w:p w14:paraId="77F16D4D" w14:textId="71CDDEEB" w:rsidR="0042787E" w:rsidRDefault="0042787E" w:rsidP="0042787E">
      <w:r>
        <w:t xml:space="preserve">De Invoeringswet Omgevingswet kent alleen overgangsrecht voor voorbereidingsbesluiten die op grond van de Wet ruimtelijke ordening zijn genomen: in bepaalde gevallen blijft het oude recht van toepassing en in andere gevallen wordt zo'n voorbereidingsbesluit gelijkgesteld met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op grond van de Omgevingswet. Er is geen sprake van een </w:t>
      </w:r>
      <w:r w:rsidR="00686220">
        <w:t xml:space="preserve">in de wet vastgelegde </w:t>
      </w:r>
      <w:r>
        <w:t>overgangsfase</w:t>
      </w:r>
      <w:r w:rsidR="00BE188D">
        <w:t xml:space="preserve"> voor het voorbereidingsbesluit</w:t>
      </w:r>
      <w:r>
        <w:t>.</w:t>
      </w:r>
    </w:p>
    <w:p w14:paraId="5208E554" w14:textId="77777777" w:rsidR="00701EE5" w:rsidRDefault="00701EE5" w:rsidP="0042787E"/>
    <w:p w14:paraId="2BEE59C0" w14:textId="1AD63F1F" w:rsidR="00712F87" w:rsidRDefault="002B2147" w:rsidP="0042787E">
      <w:r>
        <w:t xml:space="preserve">De meeste </w:t>
      </w:r>
      <w:r w:rsidR="00541E12">
        <w:t xml:space="preserve">voorbereidingsbesluiten </w:t>
      </w:r>
      <w:r>
        <w:t xml:space="preserve">zullen zijn </w:t>
      </w:r>
      <w:r w:rsidR="0006768F">
        <w:t xml:space="preserve">van het type waarvoor de wetgever heeft bepaald dat het het omgevingsplan wijzigt met voorbeschermingsregels. </w:t>
      </w:r>
      <w:r w:rsidR="0076309D" w:rsidRPr="0076309D">
        <w:t xml:space="preserve">Op grond van artikel 2.4 Ow stelt de gemeenteraad voor het gehele grondgebied van de gemeente één omgevingsplan vast waarin regels over de fysieke leefomgeving worden opgenomen. Het overgangsrecht (art. 22.4 Ow) bepaalt dat aan die verplichting </w:t>
      </w:r>
      <w:r w:rsidR="003006D4">
        <w:t xml:space="preserve">pas </w:t>
      </w:r>
      <w:r w:rsidR="0076309D" w:rsidRPr="0076309D">
        <w:t>op een bij koninklijk besluit te bepalen tijdstip voldaan</w:t>
      </w:r>
      <w:r w:rsidR="003006D4">
        <w:t xml:space="preserve"> hoeft te zijn</w:t>
      </w:r>
      <w:r w:rsidR="0076309D" w:rsidRPr="0076309D">
        <w:t>.</w:t>
      </w:r>
      <w:r w:rsidR="003006D4">
        <w:t xml:space="preserve"> Gemeenten hebben daardoor enige jaren de tijd om </w:t>
      </w:r>
      <w:r w:rsidR="00E43878" w:rsidRPr="00E43878">
        <w:t>het omgevingsplan op</w:t>
      </w:r>
      <w:r w:rsidR="004B117A">
        <w:t xml:space="preserve"> te </w:t>
      </w:r>
      <w:r w:rsidR="00E43878" w:rsidRPr="00E43878">
        <w:t xml:space="preserve">bouwen. In die </w:t>
      </w:r>
      <w:r w:rsidR="004B117A">
        <w:t xml:space="preserve">overgangsfase </w:t>
      </w:r>
      <w:r w:rsidR="00E43878" w:rsidRPr="00E43878">
        <w:t>bestaat het omgevingsplan uit het omgevingsplan van rechtswege (</w:t>
      </w:r>
      <w:r w:rsidR="00E11740">
        <w:t>te weten</w:t>
      </w:r>
      <w:r w:rsidR="00E43878" w:rsidRPr="00E43878">
        <w:t xml:space="preserve"> de geldende bestemmingsplannen c.a. die in Ruimtelijkeplannen.nl zijn gepubliceerd), het omgevingsplan van Rijkswege (oftewel de bruidsschatregels) en het omgevingsplan </w:t>
      </w:r>
      <w:r w:rsidR="00DB7B49">
        <w:t xml:space="preserve">conform Omgevingswet </w:t>
      </w:r>
      <w:r w:rsidR="00E43878" w:rsidRPr="00E43878">
        <w:t>dat de gemeente aan het opbouwen is.</w:t>
      </w:r>
      <w:r w:rsidR="00EB51D3">
        <w:t xml:space="preserve"> In die periode zou het </w:t>
      </w:r>
      <w:r w:rsidR="001323AD">
        <w:t xml:space="preserve">technisch </w:t>
      </w:r>
      <w:r w:rsidR="00EB51D3">
        <w:t>lastig zijn als het voorbereidingsbesluit daadwerkelijk het omgevingsplan zou moeten wijzigen met voorbeschermingsregels</w:t>
      </w:r>
      <w:r w:rsidR="004A00AD">
        <w:t xml:space="preserve">. </w:t>
      </w:r>
      <w:r w:rsidR="00A331A6">
        <w:t xml:space="preserve">De oplossing daarvoor wordt geboden met het in </w:t>
      </w:r>
      <w:r w:rsidR="00532BEA">
        <w:t xml:space="preserve">paragraaf </w:t>
      </w:r>
      <w:r w:rsidR="00532BEA" w:rsidRPr="00305F68">
        <w:rPr>
          <w:rStyle w:val="Verwijzing"/>
        </w:rPr>
        <w:fldChar w:fldCharType="begin"/>
      </w:r>
      <w:r w:rsidR="00532BEA" w:rsidRPr="00305F68">
        <w:rPr>
          <w:rStyle w:val="Verwijzing"/>
        </w:rPr>
        <w:instrText xml:space="preserve"> REF _Ref_3bbbdbbda076c4aeea67b34054c8e848_1 </w:instrText>
      </w:r>
      <w:r w:rsidR="0022065B" w:rsidRPr="00305F68">
        <w:rPr>
          <w:rStyle w:val="Verwijzing"/>
        </w:rPr>
        <w:instrText>\n \h</w:instrText>
      </w:r>
      <w:r w:rsidR="00532BEA" w:rsidRPr="00305F68">
        <w:rPr>
          <w:rStyle w:val="Verwijzing"/>
        </w:rPr>
        <w:instrText xml:space="preserve"> </w:instrText>
      </w:r>
      <w:r w:rsidR="00532BEA" w:rsidRPr="00305F68">
        <w:rPr>
          <w:rStyle w:val="Verwijzing"/>
        </w:rPr>
      </w:r>
      <w:r w:rsidR="00532BEA" w:rsidRPr="00305F68">
        <w:rPr>
          <w:rStyle w:val="Verwijzing"/>
        </w:rPr>
        <w:fldChar w:fldCharType="separate"/>
      </w:r>
      <w:r w:rsidR="006C26A9">
        <w:rPr>
          <w:rStyle w:val="Verwijzing"/>
        </w:rPr>
        <w:t>2.4</w:t>
      </w:r>
      <w:r w:rsidR="00532BEA" w:rsidRPr="00305F68">
        <w:rPr>
          <w:rStyle w:val="Verwijzing"/>
        </w:rPr>
        <w:fldChar w:fldCharType="end"/>
      </w:r>
      <w:r w:rsidR="00532BEA">
        <w:t xml:space="preserve"> beschreven</w:t>
      </w:r>
      <w:r w:rsidR="00311FC0">
        <w:t xml:space="preserve"> </w:t>
      </w:r>
      <w:r w:rsidR="00311FC0" w:rsidRPr="00311FC0">
        <w:t>concept tijdelijk regelingdeel</w:t>
      </w:r>
      <w:r w:rsidR="00D52EDF">
        <w:t xml:space="preserve"> als </w:t>
      </w:r>
      <w:r w:rsidR="005F4857">
        <w:t>technische invulling</w:t>
      </w:r>
      <w:r w:rsidR="00D52EDF">
        <w:t xml:space="preserve"> van het meervoudig bronhouderschap</w:t>
      </w:r>
      <w:r w:rsidR="00311FC0">
        <w:t>.</w:t>
      </w:r>
    </w:p>
    <w:p w14:paraId="39A85E6F" w14:textId="4496BAF2" w:rsidR="00712F87" w:rsidRDefault="00D84555" w:rsidP="005C48CA">
      <w:r>
        <w:lastRenderedPageBreak/>
        <w:t xml:space="preserve">Het tijdelijk regelingdeel biedt een </w:t>
      </w:r>
      <w:r w:rsidR="003A0153">
        <w:t xml:space="preserve">technisch bruikbare oplossing voor </w:t>
      </w:r>
      <w:r w:rsidR="00A31BC5">
        <w:t>e</w:t>
      </w:r>
      <w:r w:rsidR="0042787E">
        <w:t xml:space="preserve">en aantal provincies </w:t>
      </w:r>
      <w:r w:rsidR="003A0153">
        <w:t xml:space="preserve">dat </w:t>
      </w:r>
      <w:r w:rsidR="0042787E">
        <w:t xml:space="preserve">overweegt om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rsidR="0042787E">
        <w:t xml:space="preserve"> van artikel 4.16 Ow te gebruiken om aan de omgevingsplannen van de gemeenten binnen hun grondgebied in de vorm van voorbeschermingsregels rechtstreeks werkende, burgerbindende regels toe te voegen. Het betreft regels die gemeenten </w:t>
      </w:r>
      <w:r w:rsidR="003A0153">
        <w:t xml:space="preserve">onder oud recht </w:t>
      </w:r>
      <w:r w:rsidR="0042787E">
        <w:t>niet stellen maar die onder de Omgevingswet thuishoren in het omgevingsplan. Door voorbeschermingsregels aan de omgevingsplannen toe te voegen voorkomen de provincies dat de betreffende regels gedurende (een deel van) de overgangsfase</w:t>
      </w:r>
      <w:r w:rsidR="003C6DC1">
        <w:t>,</w:t>
      </w:r>
      <w:r w:rsidR="0042787E">
        <w:t xml:space="preserve"> </w:t>
      </w:r>
      <w:r w:rsidR="00BF127D">
        <w:t xml:space="preserve">waarin gemeenten nog bezig zijn om te komen tot één omgevingsplan voor hun </w:t>
      </w:r>
      <w:r w:rsidR="003C6DC1">
        <w:t>grondgebied,</w:t>
      </w:r>
      <w:r w:rsidR="00BF127D">
        <w:t xml:space="preserve"> </w:t>
      </w:r>
      <w:r w:rsidR="0042787E">
        <w:t>niet gelden.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