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EE66" w14:textId="77777777" w:rsidR="006C610E" w:rsidRDefault="006C610E" w:rsidP="00B266D4">
      <w:pPr>
        <w:pStyle w:val="Kop4"/>
      </w:pPr>
      <w:r>
        <w:t>Doel</w:t>
      </w:r>
    </w:p>
    <w:p w14:paraId="729592AC" w14:textId="6568870E" w:rsidR="006C610E" w:rsidRDefault="006C610E" w:rsidP="00B266D4">
      <w:r>
        <w:t xml:space="preserve">Doel van het objecttype Regelingsgebied </w:t>
      </w:r>
      <w:r w:rsidR="00EA456F">
        <w:t xml:space="preserve">bij het voorbereidingsbesluit </w:t>
      </w:r>
      <w:r>
        <w:t xml:space="preserve">is </w:t>
      </w:r>
      <w:r w:rsidR="005F796B">
        <w:t xml:space="preserve">de Locatie of </w:t>
      </w:r>
      <w:r>
        <w:t xml:space="preserve">het geheel van Locaties </w:t>
      </w:r>
      <w:r w:rsidRPr="00E216E9">
        <w:t xml:space="preserve">aan te geven </w:t>
      </w:r>
      <w:r>
        <w:t xml:space="preserve">waarover in </w:t>
      </w:r>
      <w:r w:rsidR="00F10C4E">
        <w:t>het tijdelijk</w:t>
      </w:r>
      <w:r>
        <w:t xml:space="preserve"> </w:t>
      </w:r>
      <w:r w:rsidR="00F10C4E">
        <w:t>r</w:t>
      </w:r>
      <w:r>
        <w:t>egeling</w:t>
      </w:r>
      <w:r w:rsidR="00F10C4E">
        <w:t>deel</w:t>
      </w:r>
      <w:r>
        <w:t xml:space="preserve"> </w:t>
      </w:r>
      <w:r w:rsidR="005F796B">
        <w:t>voorbeschermings</w:t>
      </w:r>
      <w:r>
        <w:t>regels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