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19EF" w14:textId="77777777" w:rsidR="003D4A36" w:rsidRPr="00101BAF" w:rsidRDefault="003D4A36" w:rsidP="003D4A36">
      <w:pPr>
        <w:pStyle w:val="Kop4"/>
      </w:pPr>
      <w:r w:rsidRPr="00101BAF">
        <w:t>Norm</w:t>
      </w:r>
    </w:p>
    <w:p w14:paraId="7CEBE7F9" w14:textId="75075E25" w:rsidR="003D4A36" w:rsidRDefault="003D4A36" w:rsidP="003D4A36">
      <w:r>
        <w:t>Het</w:t>
      </w:r>
      <w:r w:rsidRPr="00F62F31">
        <w:t xml:space="preserve"> </w:t>
      </w:r>
      <w:r>
        <w:t xml:space="preserve">Lichaam van de Regeling van het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6C26A9">
        <w:rPr>
          <w:noProof/>
        </w:rPr>
        <w:t>voorbereidingsbesluit</w:t>
      </w:r>
      <w:r w:rsidRPr="00F62F31">
        <w:fldChar w:fldCharType="end"/>
      </w:r>
      <w:r w:rsidRPr="00F62F31">
        <w:t xml:space="preserve"> </w:t>
      </w:r>
      <w:r>
        <w:t>bevat de volgende onderdelen:</w:t>
      </w:r>
    </w:p>
    <w:p w14:paraId="012F28EE" w14:textId="77777777" w:rsidR="003D4A36" w:rsidRDefault="003D4A36" w:rsidP="003D4A36">
      <w:pPr>
        <w:pStyle w:val="Opsommingtekens1"/>
      </w:pPr>
      <w:r w:rsidRPr="0026324B">
        <w:t xml:space="preserve">de </w:t>
      </w:r>
      <w:r>
        <w:t>C</w:t>
      </w:r>
      <w:r w:rsidRPr="0026324B">
        <w:t xml:space="preserve">onditie: verplicht onderdeel dat de verhouding tussen dit tijdelijk regelingdeel en de hoofdregeling </w:t>
      </w:r>
      <w:r w:rsidRPr="0031299D">
        <w:t xml:space="preserve">van het omgevingsplan </w:t>
      </w:r>
      <w:r>
        <w:t xml:space="preserve">of de omgevingsverordening </w:t>
      </w:r>
      <w:r w:rsidRPr="0026324B">
        <w:t xml:space="preserve">beschrijft; altijd in de vorm van een artikel </w:t>
      </w:r>
      <w:r w:rsidRPr="00852926">
        <w:t xml:space="preserve">met een Opschrift maar </w:t>
      </w:r>
      <w:r w:rsidRPr="0026324B">
        <w:t xml:space="preserve">zonder </w:t>
      </w:r>
      <w:r>
        <w:t>L</w:t>
      </w:r>
      <w:r w:rsidRPr="0026324B">
        <w:t xml:space="preserve">abel en </w:t>
      </w:r>
      <w:r>
        <w:t>N</w:t>
      </w:r>
      <w:r w:rsidRPr="0026324B">
        <w:t>ummer</w:t>
      </w:r>
      <w:r>
        <w:t xml:space="preserve">; dit artikel </w:t>
      </w:r>
      <w:r w:rsidRPr="00E02E64">
        <w:t>wordt niet in een hoofdstuk ondergebracht</w:t>
      </w:r>
      <w:r>
        <w:t>;</w:t>
      </w:r>
    </w:p>
    <w:p w14:paraId="0941F47A" w14:textId="77777777" w:rsidR="003D4A36" w:rsidRDefault="003D4A36" w:rsidP="003D4A36">
      <w:pPr>
        <w:pStyle w:val="Opsommingtekens1"/>
      </w:pPr>
      <w:r>
        <w:t>een of meer Artikelen met de voorbeschermingsregels, ondergebracht in een of meer hoofdstukken.</w:t>
      </w:r>
    </w:p>
    <w:p w14:paraId="5354FAF3" w14:textId="573B4E96" w:rsidR="003D4A36" w:rsidRPr="003D4A36" w:rsidRDefault="003D4A36" w:rsidP="003D4A36">
      <w:pPr>
        <w:pStyle w:val="Opsommingtekens1"/>
      </w:pPr>
      <w:r>
        <w:t>e</w:t>
      </w:r>
      <w:r w:rsidRPr="000F1451">
        <w:t xml:space="preserve">en bijlage </w:t>
      </w:r>
      <w:r>
        <w:t>met</w:t>
      </w:r>
      <w:r w:rsidRPr="000F1451">
        <w:t xml:space="preserve"> de namen en identificatiecodes van de </w:t>
      </w:r>
      <w:r w:rsidRPr="00991F3C">
        <w:t xml:space="preserve">geografische </w:t>
      </w:r>
      <w:r w:rsidRPr="000F1451">
        <w:t>informatieobjecten die bij de voorbeschermingsregels horen</w:t>
      </w:r>
      <w:r w:rsidRPr="009D59B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