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416AC" w14:textId="0EDEA1A4" w:rsidR="00E33EDD" w:rsidRPr="00B26823" w:rsidRDefault="00E33EDD" w:rsidP="00E33EDD">
      <w:pPr>
        <w:pStyle w:val="Kop4"/>
      </w:pPr>
      <w:bookmarkStart w:id="4" w:name="_Ref_246bfbf774e3cc51b6dea74ec90a8836_1"/>
      <w:r w:rsidRPr="00B26823">
        <w:t>Nieuw stelsel omgevingsrecht</w:t>
      </w:r>
      <w:bookmarkEnd w:id="4"/>
    </w:p>
    <w:p w14:paraId="6BD6A1FE" w14:textId="77777777" w:rsidR="00E33EDD" w:rsidRPr="00B26823" w:rsidRDefault="00E33EDD" w:rsidP="00E33EDD">
      <w:r w:rsidRPr="00B26823">
        <w:t>De Omgevingswet bundelt de wetgeving en regels voor ruimte, wonen, infrastructuur, milieu, natuur en water. Met de Omgevingswet wordt het huidige stelsel van ruimtelijke regels volledig herzien en wordt het fundament van het nieuwe stelsel voor het omgevingsrecht gelegd. Met het vernieuwen van het omgevingsrecht wil de wetgever vier verbeteringen bereiken:</w:t>
      </w:r>
    </w:p>
    <w:p w14:paraId="2411817D" w14:textId="77777777" w:rsidR="00E33EDD" w:rsidRPr="00B26823" w:rsidRDefault="00E33EDD" w:rsidP="00E33EDD">
      <w:pPr>
        <w:pStyle w:val="Opsommingtekens1"/>
      </w:pPr>
      <w:r w:rsidRPr="00B26823">
        <w:t>Het omgevingsrecht is inzichtelijk, voorspelbaar en gemakkelijk in het gebruik.</w:t>
      </w:r>
    </w:p>
    <w:p w14:paraId="4EA167C2" w14:textId="77777777" w:rsidR="00E33EDD" w:rsidRPr="00B26823" w:rsidRDefault="00E33EDD" w:rsidP="00E33EDD">
      <w:pPr>
        <w:pStyle w:val="Opsommingtekens1"/>
      </w:pPr>
      <w:r w:rsidRPr="00B26823">
        <w:t>De leefomgeving staat op een samenhangende manier centraal in beleid, besluitvorming en regelgeving.</w:t>
      </w:r>
    </w:p>
    <w:p w14:paraId="21166508" w14:textId="77777777" w:rsidR="00E33EDD" w:rsidRPr="00B26823" w:rsidRDefault="00E33EDD" w:rsidP="00E33EDD">
      <w:pPr>
        <w:pStyle w:val="Opsommingtekens1"/>
      </w:pPr>
      <w:r w:rsidRPr="00B26823">
        <w:t>Een actieve en flexibele aanpak biedt overheden meer afwegingsruimte om doelen voor de leefomgeving te bereiken.</w:t>
      </w:r>
    </w:p>
    <w:p w14:paraId="732E986E" w14:textId="77777777" w:rsidR="00E33EDD" w:rsidRPr="00B26823" w:rsidRDefault="00E33EDD" w:rsidP="00E33EDD">
      <w:pPr>
        <w:pStyle w:val="Opsommingtekens1"/>
      </w:pPr>
      <w:r w:rsidRPr="00B26823">
        <w:t>Besluitvorming over projecten in de leefomgeving gaat sneller en beter.</w:t>
      </w:r>
    </w:p>
    <w:p w14:paraId="5D9A9A76" w14:textId="77777777" w:rsidR="00E33EDD" w:rsidRPr="00B26823" w:rsidRDefault="00E33EDD" w:rsidP="00E33EDD"/>
    <w:p w14:paraId="0F248D4B" w14:textId="0FABDD07" w:rsidR="00E33EDD" w:rsidRPr="00B26823" w:rsidRDefault="00E33EDD" w:rsidP="00E33EDD">
      <w:r w:rsidRPr="00B26823">
        <w:t xml:space="preserve">Voor de realisatie van deze doelen biedt de wetgever diverse juridische instrumenten, waaronder de </w:t>
      </w:r>
      <w:r w:rsidR="00B4058F" w:rsidRPr="00B4058F">
        <w:t xml:space="preserve">besluiten en andere rechtsfiguren </w:t>
      </w:r>
      <w:r w:rsidRPr="00B26823">
        <w:t>die verschillende bevoegde gezagen in staat stellen besluiten te nemen die ingrijpen in de leefomgeving. De belangrijkste</w:t>
      </w:r>
      <w:r w:rsidR="00F452CD" w:rsidRPr="00B26823">
        <w:t xml:space="preserve"> </w:t>
      </w:r>
      <w:r w:rsidR="00B94B09">
        <w:t>instrumenten</w:t>
      </w:r>
      <w:r w:rsidR="00B94B09" w:rsidRPr="00B26823">
        <w:t xml:space="preserve"> </w:t>
      </w:r>
      <w:r w:rsidRPr="00B26823">
        <w:t>zijn:</w:t>
      </w:r>
    </w:p>
    <w:p w14:paraId="084D235B" w14:textId="77777777" w:rsidR="00E33EDD" w:rsidRPr="00B26823" w:rsidRDefault="00E33EDD" w:rsidP="00E33EDD">
      <w:pPr>
        <w:pStyle w:val="Opsommingtekens1"/>
      </w:pPr>
      <w:r w:rsidRPr="00B26823">
        <w:t>Algemene Maatregel van Bestuur (Rijk)</w:t>
      </w:r>
    </w:p>
    <w:p w14:paraId="12521AE0" w14:textId="77777777" w:rsidR="00E33EDD" w:rsidRPr="00B26823" w:rsidRDefault="00E33EDD" w:rsidP="00E33EDD">
      <w:pPr>
        <w:pStyle w:val="Opsommingtekens1"/>
      </w:pPr>
      <w:r w:rsidRPr="00B26823">
        <w:t>Ministeriële Regeling (Rijk)</w:t>
      </w:r>
    </w:p>
    <w:p w14:paraId="72DDBB6B" w14:textId="77777777" w:rsidR="00E33EDD" w:rsidRPr="00B26823" w:rsidRDefault="00E33EDD" w:rsidP="00E33EDD">
      <w:pPr>
        <w:pStyle w:val="Opsommingtekens1"/>
      </w:pPr>
      <w:r w:rsidRPr="00B26823">
        <w:t>Omgevingsvisie (Rijk, provincies en gemeenten)</w:t>
      </w:r>
    </w:p>
    <w:p w14:paraId="3F6BF2FB" w14:textId="77777777" w:rsidR="00E33EDD" w:rsidRPr="00B26823" w:rsidRDefault="00E33EDD" w:rsidP="00E33EDD">
      <w:pPr>
        <w:pStyle w:val="Opsommingtekens1"/>
      </w:pPr>
      <w:r w:rsidRPr="00B26823">
        <w:t>Omgevingsverordening (Provincies)</w:t>
      </w:r>
    </w:p>
    <w:p w14:paraId="2B554B72" w14:textId="77777777" w:rsidR="00E33EDD" w:rsidRPr="00B26823" w:rsidRDefault="00E33EDD" w:rsidP="00E33EDD">
      <w:pPr>
        <w:pStyle w:val="Opsommingtekens1"/>
      </w:pPr>
      <w:r w:rsidRPr="00B26823">
        <w:t>Waterschapsverordening (Waterschappen)</w:t>
      </w:r>
    </w:p>
    <w:p w14:paraId="023C1A1A" w14:textId="77777777" w:rsidR="00E33EDD" w:rsidRPr="00B26823" w:rsidRDefault="00E33EDD" w:rsidP="00E33EDD">
      <w:pPr>
        <w:pStyle w:val="Opsommingtekens1"/>
      </w:pPr>
      <w:r w:rsidRPr="00B26823">
        <w:t>Omgevingsplan (Gemeenten)</w:t>
      </w:r>
    </w:p>
    <w:p w14:paraId="56C20813" w14:textId="77777777" w:rsidR="00E33EDD" w:rsidRPr="00B26823" w:rsidRDefault="00E33EDD" w:rsidP="00E33EDD">
      <w:pPr>
        <w:pStyle w:val="Opsommingtekens1"/>
      </w:pPr>
      <w:r w:rsidRPr="00B26823">
        <w:t>Projectbesluit (Rijk, provincies en waterschappen)</w:t>
      </w:r>
    </w:p>
    <w:p w14:paraId="6CBC9652" w14:textId="7C17310C" w:rsidR="00E33EDD" w:rsidRPr="00B26823" w:rsidRDefault="00E33EDD" w:rsidP="00E33EDD">
      <w:pPr>
        <w:pStyle w:val="Opsommingtekens1"/>
      </w:pPr>
      <w:r w:rsidRPr="00B26823">
        <w:t>Programma (Rijk, provincies, gemeenten en waterschappen)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3E2A3" w14:textId="77777777" w:rsidR="00BC0529" w:rsidRDefault="00BC0529">
      <w:r>
        <w:separator/>
      </w:r>
    </w:p>
    <w:p w14:paraId="420A6F11" w14:textId="77777777" w:rsidR="00BC0529" w:rsidRDefault="00BC0529"/>
  </w:endnote>
  <w:endnote w:type="continuationSeparator" w:id="0">
    <w:p w14:paraId="1683706C" w14:textId="77777777" w:rsidR="00BC0529" w:rsidRPr="003C450F" w:rsidRDefault="00BC0529" w:rsidP="003C450F"/>
  </w:endnote>
  <w:endnote w:type="continuationNotice" w:id="1">
    <w:p w14:paraId="08177F22" w14:textId="77777777" w:rsidR="00BC0529" w:rsidRDefault="00BC0529"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7C8893E7" w14:textId="68FCF791" w:rsidR="006C0205" w:rsidRPr="008E41BE" w:rsidRDefault="006C0205">
      <w:pPr>
        <w:pStyle w:val="Eindnoottekst"/>
      </w:pPr>
      <w:r>
        <w:rPr>
          <w:rStyle w:val="Eindnootmarkering"/>
        </w:rPr>
        <w:endnoteRef/>
      </w:r>
      <w:r>
        <w:t xml:space="preserve"> TPOD930, TPOD940</w:t>
      </w:r>
    </w:p>
  </w:endnote>
  <w:endnote w:id="6">
    <w:p w14:paraId="17084B00" w14:textId="3C595AD0" w:rsidR="006C0205" w:rsidRDefault="006C0205">
      <w:pPr>
        <w:pStyle w:val="Eindnoottekst"/>
      </w:pPr>
      <w:r>
        <w:rPr>
          <w:rStyle w:val="Eindnootmarkering"/>
        </w:rPr>
        <w:endnoteRef/>
      </w:r>
      <w:r>
        <w:t xml:space="preserve"> TPOD1700</w:t>
      </w:r>
    </w:p>
  </w:endnote>
  <w:endnote w:id="7">
    <w:p w14:paraId="515806A3" w14:textId="2B1399CF" w:rsidR="006C0205" w:rsidRDefault="006C0205">
      <w:pPr>
        <w:pStyle w:val="Eindnoottekst"/>
      </w:pPr>
      <w:r>
        <w:rPr>
          <w:rStyle w:val="Eindnootmarkering"/>
        </w:rPr>
        <w:endnoteRef/>
      </w:r>
      <w:r>
        <w:t xml:space="preserve"> TPOD1710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ABBB" w14:textId="77777777" w:rsidR="00BC0529" w:rsidRPr="00B35331" w:rsidRDefault="00BC0529" w:rsidP="00577995">
      <w:pPr>
        <w:pStyle w:val="Voettekst"/>
      </w:pPr>
    </w:p>
  </w:footnote>
  <w:footnote w:type="continuationSeparator" w:id="0">
    <w:p w14:paraId="5F892A24" w14:textId="77777777" w:rsidR="00BC0529" w:rsidRDefault="00BC0529">
      <w:r>
        <w:continuationSeparator/>
      </w:r>
    </w:p>
    <w:p w14:paraId="2C2280EB" w14:textId="77777777" w:rsidR="00BC0529" w:rsidRDefault="00BC0529"/>
    <w:p w14:paraId="42B8890B" w14:textId="77777777" w:rsidR="00BC0529" w:rsidRDefault="00BC0529"/>
  </w:footnote>
  <w:footnote w:type="continuationNotice" w:id="1">
    <w:p w14:paraId="6D425830" w14:textId="77777777" w:rsidR="00BC0529" w:rsidRDefault="00BC052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5">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6">
    <w:p w14:paraId="0953F81C" w14:textId="438361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AB12B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AB12BA">
        <w:t>7</w:t>
      </w:r>
      <w:r w:rsidR="00995073">
        <w:fldChar w:fldCharType="end"/>
      </w:r>
    </w:p>
  </w:footnote>
  <w:footnote w:id="7">
    <w:p w14:paraId="09A84119" w14:textId="1BB774A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9">
    <w:p w14:paraId="2D986D31" w14:textId="5988619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1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3">
    <w:p w14:paraId="162E9768" w14:textId="270BB336"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AB12BA">
        <w:t>7.13</w:t>
      </w:r>
      <w:r w:rsidR="0052549B">
        <w:fldChar w:fldCharType="end"/>
      </w:r>
    </w:p>
  </w:footnote>
  <w:footnote w:id="1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6">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7">
    <w:p w14:paraId="52898E77" w14:textId="7B8E754A" w:rsidR="00440967" w:rsidRDefault="00440967" w:rsidP="00440967">
      <w:pPr>
        <w:pStyle w:val="Voetnoottekst"/>
      </w:pPr>
      <w:r>
        <w:rPr>
          <w:rStyle w:val="Voetnootmarkering"/>
        </w:rPr>
        <w:footnoteRef/>
      </w:r>
      <w:r>
        <w:t xml:space="preserve"> </w:t>
      </w:r>
      <w:r>
        <w:tab/>
        <w:t xml:space="preserve">Artikel 13 lid </w:t>
      </w:r>
      <w:r w:rsidR="000153CD">
        <w:t>3</w:t>
      </w:r>
      <w:r>
        <w:t xml:space="preserve"> Bekendmakingswet</w:t>
      </w:r>
    </w:p>
  </w:footnote>
  <w:footnote w:id="18">
    <w:p w14:paraId="022B3ACF" w14:textId="3A1896C8" w:rsidR="00440967" w:rsidRDefault="00440967" w:rsidP="00440967">
      <w:pPr>
        <w:pStyle w:val="Voetnoottekst"/>
      </w:pPr>
      <w:r>
        <w:rPr>
          <w:rStyle w:val="Voetnootmarkering"/>
        </w:rPr>
        <w:footnoteRef/>
      </w:r>
      <w:r>
        <w:t xml:space="preserve"> </w:t>
      </w:r>
      <w:r>
        <w:tab/>
        <w:t>Artikel 3:12 lid 1 Awb</w:t>
      </w:r>
    </w:p>
  </w:footnote>
  <w:footnote w:id="19">
    <w:p w14:paraId="4F7BC6EE" w14:textId="77777777"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2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2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22">
    <w:p w14:paraId="21112724" w14:textId="77777777" w:rsidR="00440967" w:rsidRDefault="00440967" w:rsidP="00440967">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23">
    <w:p w14:paraId="2A174CEC" w14:textId="77777777" w:rsidR="00440967" w:rsidRDefault="00440967" w:rsidP="00440967">
      <w:pPr>
        <w:pStyle w:val="Voetnoottekst"/>
      </w:pPr>
      <w:r>
        <w:rPr>
          <w:rStyle w:val="Voetnootmarkering"/>
        </w:rPr>
        <w:footnoteRef/>
      </w:r>
      <w:r>
        <w:t xml:space="preserve"> </w:t>
      </w:r>
      <w:r>
        <w:tab/>
      </w:r>
      <w:r w:rsidRPr="00B15E08">
        <w:t>Artikel 3.7 Besluit elektronische publicaties</w:t>
      </w:r>
    </w:p>
  </w:footnote>
  <w:footnote w:id="24">
    <w:p w14:paraId="5AEEC017" w14:textId="77777777" w:rsidR="00440967" w:rsidRDefault="00440967" w:rsidP="00440967">
      <w:pPr>
        <w:pStyle w:val="Voetnoottekst"/>
      </w:pPr>
      <w:r>
        <w:rPr>
          <w:rStyle w:val="Voetnootmarkering"/>
        </w:rPr>
        <w:footnoteRef/>
      </w:r>
      <w:r>
        <w:t xml:space="preserve"> </w:t>
      </w:r>
      <w:r>
        <w:tab/>
        <w:t>Artikel 2.6 Ow</w:t>
      </w:r>
    </w:p>
  </w:footnote>
  <w:footnote w:id="25">
    <w:p w14:paraId="144C21B4" w14:textId="77777777" w:rsidR="00440967" w:rsidRDefault="00440967" w:rsidP="00440967">
      <w:pPr>
        <w:pStyle w:val="Voetnoottekst"/>
      </w:pPr>
      <w:r>
        <w:rPr>
          <w:rStyle w:val="Voetnootmarkering"/>
        </w:rPr>
        <w:footnoteRef/>
      </w:r>
      <w:r>
        <w:t xml:space="preserve"> </w:t>
      </w:r>
      <w:r>
        <w:tab/>
        <w:t>Artikel 2.8 Ow</w:t>
      </w:r>
    </w:p>
  </w:footnote>
  <w:footnote w:id="26">
    <w:p w14:paraId="47B5A6B8" w14:textId="77777777"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b</w:t>
      </w:r>
      <w:r w:rsidRPr="00B821E9">
        <w:t xml:space="preserve"> Ob</w:t>
      </w:r>
    </w:p>
  </w:footnote>
  <w:footnote w:id="27">
    <w:p w14:paraId="1EC9C0C1" w14:textId="77777777" w:rsidR="00440967" w:rsidRDefault="00440967" w:rsidP="00440967">
      <w:pPr>
        <w:pStyle w:val="Voetnoottekst"/>
      </w:pPr>
      <w:r>
        <w:rPr>
          <w:rStyle w:val="Voetnootmarkering"/>
        </w:rPr>
        <w:footnoteRef/>
      </w:r>
      <w:r>
        <w:t xml:space="preserve"> </w:t>
      </w:r>
      <w:r>
        <w:tab/>
      </w:r>
      <w:r w:rsidRPr="00CB4857">
        <w:t xml:space="preserve">Artikel 6 jo artikel 2 lid </w:t>
      </w:r>
      <w:r>
        <w:t>1</w:t>
      </w:r>
      <w:r w:rsidRPr="00CB4857">
        <w:t xml:space="preserve"> Bekendmakingswet</w:t>
      </w:r>
    </w:p>
  </w:footnote>
  <w:footnote w:id="2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2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30">
    <w:p w14:paraId="4DA88A2E" w14:textId="0495C79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2E1D40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D753544"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B539AC9" w:rsidR="0078768C" w:rsidRPr="00CA6C0C" w:rsidRDefault="00A70AFD" w:rsidP="00FF3E80">
          <w:r>
            <w:fldChar w:fldCharType="begin"/>
          </w:r>
          <w:r>
            <w:instrText xml:space="preserve"> SAVEDATE  \@ "d MMMM yyyy" </w:instrText>
          </w:r>
          <w:r>
            <w:fldChar w:fldCharType="separate"/>
          </w:r>
          <w:r w:rsidR="003B7AE5">
            <w:rPr>
              <w:noProof/>
            </w:rPr>
            <w:t>1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4303AC4"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6296021A"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waterschapsverordening"/>
    <w:docVar w:name="ID01_CAPS" w:val="Waterschapsverordening"/>
    <w:docVar w:name="ID01+" w:val="de waterschapsverordening"/>
    <w:docVar w:name="ID01+_CAPS" w:val="De waterschapsverordening"/>
    <w:docVar w:name="ID02" w:val="de"/>
    <w:docVar w:name="ID03" w:val="w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493"/>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9"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0" Type="http://schemas.openxmlformats.org/officeDocument/2006/relationships/header" Target="header5.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88" Type="http://schemas.openxmlformats.org/officeDocument/2006/relationships/hyperlink" Target="https://www.geonovum.nl/geo-standaarden/omgevingswet/meldingen"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241</TotalTime>
  <Pages>1</Pages>
  <Words>75810</Words>
  <Characters>416961</Characters>
  <Application>Microsoft Office Word</Application>
  <DocSecurity>0</DocSecurity>
  <Lines>3474</Lines>
  <Paragraphs>983</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491788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150</cp:revision>
  <cp:lastPrinted>2021-12-12T20:21:00Z</cp:lastPrinted>
  <dcterms:created xsi:type="dcterms:W3CDTF">2023-01-18T16:25:00Z</dcterms:created>
  <dcterms:modified xsi:type="dcterms:W3CDTF">2023-04-04T10:19:00Z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