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2270" w14:textId="77777777" w:rsidR="002660BC" w:rsidRPr="008D3C2B" w:rsidRDefault="002660BC" w:rsidP="002660BC">
      <w:pPr>
        <w:pStyle w:val="Kop3"/>
      </w:pPr>
      <w:bookmarkStart w:id="25" w:name="_Ref_48d1ab1f85489558ced45ee1b670bf69_1"/>
      <w:r w:rsidRPr="008D3C2B">
        <w:t>O</w:t>
      </w:r>
      <w:r>
        <w:t>vergangsrecht en o</w:t>
      </w:r>
      <w:r w:rsidRPr="008D3C2B">
        <w:t>vergangsfase</w:t>
      </w:r>
      <w:bookmarkEnd w:id="25"/>
    </w:p>
    <w:p w14:paraId="60390F1B" w14:textId="77777777" w:rsidR="002660BC" w:rsidRDefault="002660BC" w:rsidP="002660BC">
      <w:pPr>
        <w:rPr>
          <w:bCs/>
        </w:rPr>
      </w:pPr>
      <w:r w:rsidRPr="00E570CA">
        <w:rPr>
          <w:bCs/>
        </w:rPr>
        <w:t xml:space="preserve">Na inwerkingtreden van de Omgevingswet </w:t>
      </w:r>
      <w:r>
        <w:rPr>
          <w:bCs/>
        </w:rPr>
        <w:t xml:space="preserve">gelden als deel van de waterschapsverordening </w:t>
      </w:r>
      <w:r w:rsidRPr="001938A7">
        <w:rPr>
          <w:bCs/>
        </w:rPr>
        <w:t>(art. 4.7 Invoeringswet Omgevingswet)</w:t>
      </w:r>
      <w:r>
        <w:rPr>
          <w:bCs/>
        </w:rPr>
        <w:t>:</w:t>
      </w:r>
    </w:p>
    <w:p w14:paraId="080578A5" w14:textId="77777777" w:rsidR="002660BC" w:rsidRDefault="002660BC" w:rsidP="002660BC">
      <w:pPr>
        <w:pStyle w:val="Opsommingtekens1"/>
      </w:pPr>
      <w:r>
        <w:t xml:space="preserve">regels uit verordeningen op basis van </w:t>
      </w:r>
      <w:r w:rsidRPr="00672DA3">
        <w:t>artikel 78, eerste lid, Waterschapswet</w:t>
      </w:r>
      <w:r>
        <w:t>:</w:t>
      </w:r>
    </w:p>
    <w:p w14:paraId="54F212C1" w14:textId="77777777" w:rsidR="002660BC" w:rsidRDefault="002660BC" w:rsidP="002660BC">
      <w:pPr>
        <w:pStyle w:val="Opsommingtekens2"/>
      </w:pPr>
      <w:r>
        <w:t>de keur (</w:t>
      </w:r>
      <w:r w:rsidRPr="00AD5228">
        <w:t>met uitzondering van regels over onderhoudsverplichtingen</w:t>
      </w:r>
      <w:r>
        <w:t>);</w:t>
      </w:r>
    </w:p>
    <w:p w14:paraId="65C65485" w14:textId="77777777" w:rsidR="002660BC" w:rsidRDefault="002660BC" w:rsidP="002660BC">
      <w:pPr>
        <w:pStyle w:val="Opsommingtekens2"/>
      </w:pPr>
      <w:r>
        <w:t>de wegenverordening;</w:t>
      </w:r>
    </w:p>
    <w:p w14:paraId="04A56D6D" w14:textId="77777777" w:rsidR="002660BC" w:rsidRDefault="002660BC" w:rsidP="002660BC">
      <w:pPr>
        <w:pStyle w:val="Opsommingtekens2"/>
      </w:pPr>
      <w:r>
        <w:t>de vaarwegenverordening;</w:t>
      </w:r>
    </w:p>
    <w:p w14:paraId="5963B2C8" w14:textId="77777777" w:rsidR="002660BC" w:rsidRDefault="002660BC" w:rsidP="002660BC">
      <w:pPr>
        <w:pStyle w:val="Opsommingtekens2"/>
      </w:pPr>
      <w:r>
        <w:t>de aansluitverordening;</w:t>
      </w:r>
    </w:p>
    <w:p w14:paraId="60CE87BC" w14:textId="77777777" w:rsidR="002660BC" w:rsidRPr="008D3C2B" w:rsidRDefault="002660BC" w:rsidP="002660BC">
      <w:pPr>
        <w:pStyle w:val="Opsommingtekens1"/>
      </w:pPr>
      <w:r w:rsidRPr="00193755">
        <w:t xml:space="preserve">regels </w:t>
      </w:r>
      <w:r w:rsidRPr="009A3EAD">
        <w:t xml:space="preserve">uit </w:t>
      </w:r>
      <w:r>
        <w:t xml:space="preserve">de </w:t>
      </w:r>
      <w:r w:rsidRPr="009A3EAD">
        <w:t xml:space="preserve">legger </w:t>
      </w:r>
      <w:r>
        <w:t>w</w:t>
      </w:r>
      <w:r w:rsidRPr="003D18EA">
        <w:t xml:space="preserve">aarin de ligging van een waterstaatswerk en </w:t>
      </w:r>
      <w:r>
        <w:t xml:space="preserve">de </w:t>
      </w:r>
      <w:r w:rsidRPr="003D18EA">
        <w:t>daaraan grenzende beschermingszone is aangegeven.</w:t>
      </w:r>
    </w:p>
    <w:p w14:paraId="6E3A1268" w14:textId="44E33DF6" w:rsidR="002660BC" w:rsidRDefault="002660BC" w:rsidP="002660BC">
      <w:pPr>
        <w:rPr>
          <w:bCs/>
        </w:rPr>
      </w:pPr>
      <w:r>
        <w:rPr>
          <w:bCs/>
        </w:rPr>
        <w:t xml:space="preserve">Dat geldt niet </w:t>
      </w:r>
      <w:r w:rsidRPr="0084293D">
        <w:rPr>
          <w:bCs/>
        </w:rPr>
        <w:t xml:space="preserve">als </w:t>
      </w:r>
      <w:r w:rsidRPr="00BB1FB2">
        <w:rPr>
          <w:bCs/>
        </w:rPr>
        <w:t xml:space="preserve">de waterschapsverordening </w:t>
      </w:r>
      <w:r w:rsidRPr="00012504">
        <w:rPr>
          <w:bCs/>
        </w:rPr>
        <w:t xml:space="preserve">gelijktijdig met of onmiddellijk na de inwerkingtreding van </w:t>
      </w:r>
      <w:r>
        <w:rPr>
          <w:bCs/>
        </w:rPr>
        <w:t xml:space="preserve">de Omgevingswet </w:t>
      </w:r>
      <w:r w:rsidRPr="0084293D">
        <w:rPr>
          <w:bCs/>
        </w:rPr>
        <w:t>van kracht wordt</w:t>
      </w:r>
      <w:r w:rsidR="00141DCA">
        <w:rPr>
          <w:bCs/>
        </w:rPr>
        <w:t xml:space="preserve"> </w:t>
      </w:r>
      <w:r w:rsidR="00141DCA" w:rsidRPr="00141DCA">
        <w:rPr>
          <w:bCs/>
        </w:rPr>
        <w:t>(art. 4.</w:t>
      </w:r>
      <w:r w:rsidR="002857EC">
        <w:rPr>
          <w:bCs/>
        </w:rPr>
        <w:t>8</w:t>
      </w:r>
      <w:r w:rsidR="00141DCA" w:rsidRPr="00141DCA">
        <w:rPr>
          <w:bCs/>
        </w:rPr>
        <w:t xml:space="preserve"> Invoeringswet Omgevingswet)</w:t>
      </w:r>
      <w:r>
        <w:rPr>
          <w:bCs/>
        </w:rPr>
        <w:t>.</w:t>
      </w:r>
    </w:p>
    <w:p w14:paraId="44E11B30" w14:textId="5AB0C036" w:rsidR="002660BC" w:rsidRPr="008D3C2B" w:rsidRDefault="002660BC" w:rsidP="002660BC">
      <w:pPr>
        <w:rPr>
          <w:bCs/>
        </w:rPr>
      </w:pPr>
      <w:r w:rsidRPr="008D3C2B">
        <w:rPr>
          <w:bCs/>
        </w:rPr>
        <w:t xml:space="preserve">Daarnaast </w:t>
      </w:r>
      <w:r w:rsidR="004303DC">
        <w:rPr>
          <w:bCs/>
        </w:rPr>
        <w:t xml:space="preserve">maken </w:t>
      </w:r>
      <w:r w:rsidRPr="008D3C2B">
        <w:rPr>
          <w:bCs/>
        </w:rPr>
        <w:t xml:space="preserve">ook de regels die het Rijk decentraliseert als onderdeel van de zogenoemde </w:t>
      </w:r>
      <w:r>
        <w:rPr>
          <w:bCs/>
        </w:rPr>
        <w:t>‘</w:t>
      </w:r>
      <w:r w:rsidRPr="008D3C2B">
        <w:rPr>
          <w:bCs/>
        </w:rPr>
        <w:t>bruidsschat</w:t>
      </w:r>
      <w:r>
        <w:rPr>
          <w:bCs/>
        </w:rPr>
        <w:t>’</w:t>
      </w:r>
      <w:r w:rsidRPr="008D3C2B">
        <w:rPr>
          <w:bCs/>
        </w:rPr>
        <w:t xml:space="preserve"> onderdeel uit van </w:t>
      </w:r>
      <w:r w:rsidRPr="001B20FD">
        <w:fldChar w:fldCharType="begin"/>
      </w:r>
      <w:r w:rsidRPr="008D3C2B">
        <w:rPr>
          <w:bCs/>
        </w:rPr>
        <w:instrText xml:space="preserve"> DOCVARIABLE ID01+ </w:instrText>
      </w:r>
      <w:r w:rsidRPr="001B20FD">
        <w:fldChar w:fldCharType="separate"/>
      </w:r>
      <w:r w:rsidR="003B7AE5">
        <w:rPr>
          <w:bCs/>
        </w:rPr>
        <w:t>de waterschapsverordening</w:t>
      </w:r>
      <w:r w:rsidRPr="001B20FD">
        <w:fldChar w:fldCharType="end"/>
      </w:r>
      <w:r w:rsidRPr="008D3C2B">
        <w:rPr>
          <w:bCs/>
        </w:rPr>
        <w:t xml:space="preserve"> zoals die geldt ten tijde van de inwerkingtreding van de Omgevingswet (art. 22.14 Ow</w:t>
      </w:r>
      <w:r w:rsidR="00797081">
        <w:rPr>
          <w:bCs/>
        </w:rPr>
        <w:t xml:space="preserve"> jo art</w:t>
      </w:r>
      <w:r w:rsidR="00D238EE">
        <w:rPr>
          <w:bCs/>
        </w:rPr>
        <w:t>.</w:t>
      </w:r>
      <w:r w:rsidR="00797081">
        <w:rPr>
          <w:bCs/>
        </w:rPr>
        <w:t xml:space="preserve"> 7.</w:t>
      </w:r>
      <w:r w:rsidR="007330E6">
        <w:rPr>
          <w:bCs/>
        </w:rPr>
        <w:t>3</w:t>
      </w:r>
      <w:r w:rsidR="00797081">
        <w:rPr>
          <w:bCs/>
        </w:rPr>
        <w:t xml:space="preserve"> Invoeringsbesluit</w:t>
      </w:r>
      <w:r w:rsidR="0039437F">
        <w:rPr>
          <w:bCs/>
        </w:rPr>
        <w:t xml:space="preserve"> </w:t>
      </w:r>
      <w:r w:rsidR="00D238EE">
        <w:rPr>
          <w:bCs/>
        </w:rPr>
        <w:t>Omgevingswet</w:t>
      </w:r>
      <w:r w:rsidRPr="008D3C2B">
        <w:rPr>
          <w:bCs/>
        </w:rPr>
        <w:t xml:space="preserve">). </w:t>
      </w:r>
      <w:r w:rsidR="00F87F2F">
        <w:rPr>
          <w:bCs/>
        </w:rPr>
        <w:t>De regels van de bruidsschat worden geplaatst in het nieuwe deel van de waterschapsverordening</w:t>
      </w:r>
      <w:r w:rsidR="00F83C2D">
        <w:rPr>
          <w:bCs/>
        </w:rPr>
        <w:t xml:space="preserve">; het waterschap mag ze wijzigen maar is daartoe niet verplicht. </w:t>
      </w:r>
      <w:r w:rsidRPr="008D3C2B">
        <w:rPr>
          <w:bCs/>
        </w:rPr>
        <w:t xml:space="preserve">Het Rijk draagt er zorg voor dat de regels uit de bruidsschat als onderdeel van </w:t>
      </w:r>
      <w:r w:rsidRPr="001B20FD">
        <w:fldChar w:fldCharType="begin"/>
      </w:r>
      <w:r w:rsidRPr="008D3C2B">
        <w:rPr>
          <w:bCs/>
        </w:rPr>
        <w:instrText xml:space="preserve"> DOCVARIABLE ID01+ </w:instrText>
      </w:r>
      <w:r w:rsidRPr="001B20FD">
        <w:fldChar w:fldCharType="separate"/>
      </w:r>
      <w:r w:rsidR="003B7AE5">
        <w:rPr>
          <w:bCs/>
        </w:rPr>
        <w:t>de waterschapsverordening</w:t>
      </w:r>
      <w:r w:rsidRPr="001B20FD">
        <w:fldChar w:fldCharType="end"/>
      </w:r>
      <w:r w:rsidRPr="008D3C2B">
        <w:rPr>
          <w:bCs/>
        </w:rPr>
        <w:t xml:space="preserve"> elektronisch geraadpleegd kunnen worden.</w:t>
      </w:r>
    </w:p>
    <w:p w14:paraId="0ADCE093" w14:textId="32B246B9" w:rsidR="002660BC" w:rsidRPr="008D3C2B" w:rsidRDefault="002660BC" w:rsidP="002660BC">
      <w:pPr>
        <w:spacing w:before="240"/>
        <w:rPr>
          <w:bCs/>
        </w:rPr>
      </w:pPr>
      <w:r w:rsidRPr="008D3C2B">
        <w:rPr>
          <w:bCs/>
        </w:rPr>
        <w:t xml:space="preserve">De verplichting tot vaststelling van een </w:t>
      </w:r>
      <w:r w:rsidRPr="001B20FD">
        <w:fldChar w:fldCharType="begin"/>
      </w:r>
      <w:r w:rsidRPr="008D3C2B">
        <w:rPr>
          <w:bCs/>
        </w:rPr>
        <w:instrText xml:space="preserve"> DOCVARIABLE ID01 </w:instrText>
      </w:r>
      <w:r w:rsidRPr="001B20FD">
        <w:fldChar w:fldCharType="separate"/>
      </w:r>
      <w:r w:rsidR="003B7AE5">
        <w:rPr>
          <w:bCs/>
        </w:rPr>
        <w:t>waterschapsverordening</w:t>
      </w:r>
      <w:r w:rsidRPr="001B20FD">
        <w:fldChar w:fldCharType="end"/>
      </w:r>
      <w:r w:rsidRPr="008D3C2B">
        <w:rPr>
          <w:bCs/>
        </w:rPr>
        <w:t xml:space="preserve"> geldt pas vanaf een bij koninklijk besluit te bepalen tijdstip</w:t>
      </w:r>
      <w:r>
        <w:rPr>
          <w:bCs/>
        </w:rPr>
        <w:t xml:space="preserve">. </w:t>
      </w:r>
      <w:r w:rsidRPr="004C5272">
        <w:rPr>
          <w:bCs/>
        </w:rPr>
        <w:t xml:space="preserve">Vanaf dat moment worden regels over de fysieke leefomgeving alleen nog in </w:t>
      </w:r>
      <w:r>
        <w:rPr>
          <w:bCs/>
        </w:rPr>
        <w:t xml:space="preserve">de waterschapsverordening </w:t>
      </w:r>
      <w:r w:rsidRPr="004C5272">
        <w:rPr>
          <w:bCs/>
        </w:rPr>
        <w:t>gesteld</w:t>
      </w:r>
      <w:r>
        <w:rPr>
          <w:bCs/>
        </w:rPr>
        <w:t xml:space="preserve"> (art. 22.15 Ow)</w:t>
      </w:r>
      <w:r w:rsidRPr="008D3C2B">
        <w:rPr>
          <w:bCs/>
        </w:rPr>
        <w:t>.</w:t>
      </w:r>
      <w:r w:rsidRPr="008D3C2B">
        <w:t xml:space="preserve"> </w:t>
      </w:r>
      <w:r w:rsidRPr="008D3C2B">
        <w:rPr>
          <w:bCs/>
        </w:rPr>
        <w:t xml:space="preserve">Zie paragraaf 5.2.4.1 van de Memorie van Toelichting van de Invoeringswet Omgevingswet (Kamerstukken II 2017/18, 34 986, nr. 3, blz. 101 e.v.) voor een beschrijving van de overgangsfase voor </w:t>
      </w:r>
      <w:r w:rsidRPr="001B20FD">
        <w:fldChar w:fldCharType="begin"/>
      </w:r>
      <w:r w:rsidRPr="008D3C2B">
        <w:rPr>
          <w:bCs/>
        </w:rPr>
        <w:instrText xml:space="preserve"> DOCVARIABLE ID01+ </w:instrText>
      </w:r>
      <w:r w:rsidRPr="001B20FD">
        <w:fldChar w:fldCharType="separate"/>
      </w:r>
      <w:r w:rsidR="003B7AE5">
        <w:rPr>
          <w:bCs/>
        </w:rPr>
        <w:t>de waterschapsverordening</w:t>
      </w:r>
      <w:r w:rsidRPr="001B20FD">
        <w:fldChar w:fldCharType="end"/>
      </w:r>
      <w:r w:rsidRPr="008D3C2B">
        <w:rPr>
          <w:bCs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