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C3A5" w14:textId="0DDAD8E4" w:rsidR="000F2CCF" w:rsidRDefault="000F2CCF" w:rsidP="000F2CCF">
      <w:pPr>
        <w:pStyle w:val="Kop4"/>
      </w:pPr>
      <w:bookmarkStart w:id="61" w:name="_Ref_57df7de5f95154d87f0fe369d8c02411_1"/>
      <w:r>
        <w:t>B</w:t>
      </w:r>
      <w:r w:rsidRPr="00307038">
        <w:t xml:space="preserve">esluit </w:t>
      </w:r>
      <w:r>
        <w:t>in de juridische context</w:t>
      </w:r>
      <w:bookmarkEnd w:id="61"/>
    </w:p>
    <w:p w14:paraId="49AA4BC3" w14:textId="77777777" w:rsidR="000F2CCF" w:rsidRDefault="000F2CCF" w:rsidP="000F2CCF">
      <w:r>
        <w:t xml:space="preserve">Het samenstel van </w:t>
      </w:r>
      <w:r w:rsidRPr="00AF6183">
        <w:t>Awb</w:t>
      </w:r>
      <w:r>
        <w:t>,</w:t>
      </w:r>
      <w:r w:rsidRPr="00AF6183">
        <w:t xml:space="preserve"> Bekendmakingswet </w:t>
      </w:r>
      <w:r>
        <w:t xml:space="preserve">en Omgevingswet </w:t>
      </w:r>
      <w:r w:rsidRPr="00AF6183">
        <w:t>ma</w:t>
      </w:r>
      <w:r>
        <w:t>a</w:t>
      </w:r>
      <w:r w:rsidRPr="00AF6183">
        <w:t>k</w:t>
      </w:r>
      <w:r>
        <w:t xml:space="preserve">t, voor </w:t>
      </w:r>
      <w:r w:rsidRPr="009E1E87">
        <w:t>besluiten die niet tot een of meer belanghebbenden zijn gericht</w:t>
      </w:r>
      <w:r>
        <w:t xml:space="preserve"> en die zijn voorbereid met toepassing van afdeling 3.4 Awb,</w:t>
      </w:r>
      <w:r w:rsidRPr="00AF6183">
        <w:t xml:space="preserve"> onderscheid tussen </w:t>
      </w:r>
      <w:r>
        <w:t xml:space="preserve">het </w:t>
      </w:r>
      <w:r w:rsidRPr="00AF6183">
        <w:t xml:space="preserve">(ontwerp)besluit en </w:t>
      </w:r>
      <w:r>
        <w:t xml:space="preserve">de </w:t>
      </w:r>
      <w:r w:rsidRPr="00AF6183">
        <w:t xml:space="preserve">op dat (ontwerp)besluit betrekking hebbende stukken. </w:t>
      </w:r>
      <w:r>
        <w:t>Met het (ontwerp)besluit wordt hier bedoeld dat wat het bestuursorgaan besluit (of voornemens is te besluiten) en wat het bestuursorgaan vaststelt (c.q. gaat vaststellen). De o</w:t>
      </w:r>
      <w:r w:rsidRPr="00947826">
        <w:t xml:space="preserve">p </w:t>
      </w:r>
      <w:r>
        <w:t xml:space="preserve">het </w:t>
      </w:r>
      <w:r w:rsidRPr="00947826">
        <w:t>(ontwerp)besluit betrekking hebbende stukken</w:t>
      </w:r>
      <w:r>
        <w:t xml:space="preserve"> zijn stukken die het bestuursorgaan gebruikt bij de onderbouwing van het </w:t>
      </w:r>
      <w:r w:rsidRPr="004A7CC6">
        <w:t>(ontwerp)besluit</w:t>
      </w:r>
      <w:r>
        <w:t xml:space="preserve">, maar niet vaststelt. Een voorbeeld: als de gemeenteraad het besluit neemt tot wijziging van het omgevingsplan, stelt hij de wijziging van het omgevingsplan vast. </w:t>
      </w:r>
      <w:r w:rsidRPr="0096313D">
        <w:t xml:space="preserve">Rapportages van onderzoeken die zijn uitgevoerd ter onderbouwing van </w:t>
      </w:r>
      <w:r>
        <w:t xml:space="preserve">die wijziging zijn </w:t>
      </w:r>
      <w:r w:rsidRPr="0096313D">
        <w:t>op het (ontwerp)besluit betrekking hebbende stukken.</w:t>
      </w:r>
      <w:r>
        <w:t xml:space="preserve"> De</w:t>
      </w:r>
      <w:r w:rsidRPr="00C07839">
        <w:t xml:space="preserve"> gemeenteraad </w:t>
      </w:r>
      <w:r>
        <w:t>stelt deze stukken niet vast, maar betrekt ze bij het nemen van het besluit.</w:t>
      </w:r>
    </w:p>
    <w:p w14:paraId="0BE21BAB" w14:textId="7E968B9D" w:rsidR="007724F8" w:rsidRDefault="000F2CCF" w:rsidP="000F2CCF">
      <w:r w:rsidRPr="00AF6183">
        <w:t>Het (ontwerp)besluit moet gepubliceerd c.q. bekend gemaakt worden door mededeling: plaatsing van de volledige inhoud van het (ontwerp)besluit in het publicatieblad van het bevoegd gezag</w:t>
      </w:r>
      <w:r>
        <w:rPr>
          <w:rStyle w:val="Voetnootmarkering"/>
        </w:rPr>
        <w:footnoteReference w:id="4"/>
      </w:r>
      <w:r w:rsidRPr="00AF6183">
        <w:t>. De op het (ontwerp)besluit betrekking hebbende stukken moeten ter inzage gelegd worden. De</w:t>
      </w:r>
      <w:r>
        <w:t>ze</w:t>
      </w:r>
      <w:r w:rsidRPr="00AF6183">
        <w:t xml:space="preserve"> terinzagelegging geschiedt zowel op elektronische wijze als op een door het bestuursorgaan aan te wijzen locatie. De (elektronische) terinzagelegging vindt niet plaats in de publicatiebladen.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