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22ED8C72"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w:t>
      </w:r>
      <w:r>
        <w:lastRenderedPageBreak/>
        <w:t>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3B7AE5">
          <w:t>de waterschapsverordening</w:t>
        </w:r>
      </w:fldSimple>
      <w:r>
        <w:t xml:space="preserve"> van toepassing zijn.</w:t>
      </w:r>
    </w:p>
    <w:p w14:paraId="58277295" w14:textId="4993900E" w:rsidR="00713915" w:rsidRPr="00C63D3C" w:rsidRDefault="00713915" w:rsidP="00713915">
      <w:pPr>
        <w:rPr>
          <w:b/>
          <w:bCs/>
        </w:rPr>
      </w:pPr>
      <w:r>
        <w:t xml:space="preserve">De modellen voor Regeling en Besluit die in het geval van </w:t>
      </w:r>
      <w:fldSimple w:instr=" DOCVARIABLE ID01+ ">
        <w:r w:rsidR="003B7AE5">
          <w:t>de waterschapsverordening</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3B7AE5">
        <w:rPr>
          <w:rStyle w:val="Verwijzing"/>
        </w:rPr>
        <w:t>4.3</w:t>
      </w:r>
      <w:r w:rsidR="00412234" w:rsidRPr="00863F41">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