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99" w:name="_Ref_9ae40fd5136e945421e933d5cd7b2d72_1"/>
      <w:r w:rsidRPr="00F1426F">
        <w:t>Toelichting</w:t>
      </w:r>
      <w:r w:rsidR="00827453" w:rsidRPr="00F1426F">
        <w:t xml:space="preserve"> op de toepassing</w:t>
      </w:r>
      <w:bookmarkEnd w:id="199"/>
    </w:p>
    <w:p w14:paraId="2603C5E7" w14:textId="02A26AC1"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_Ref_0789184bfc8c0a453aa950d4719a62bb_1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3B7AE5">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3B7AE5">
        <w:rPr>
          <w:rStyle w:val="Verwijzing"/>
        </w:rPr>
        <w:t>7.2</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en zo ja tot welk instrument, of gaat het over de uitoefening van een taak en zo ja wie moet die taak uitoefenen.</w:t>
      </w:r>
    </w:p>
    <w:p w14:paraId="168C223C" w14:textId="371C2A19" w:rsidR="00091C16" w:rsidRPr="00F1426F" w:rsidRDefault="00091C16" w:rsidP="002F7B04">
      <w:r w:rsidRPr="00F1426F">
        <w:t>Bij Regeltekst is de voorwaarde opgenomen dat alle Juridische regels binnen één Regeltekst van hetzelfde type moeten zijn</w:t>
      </w:r>
      <w:r w:rsidR="004D5396" w:rsidRPr="00B26823">
        <w:rPr>
          <w:rStyle w:val="Eindnootmarkering"/>
        </w:rPr>
        <w:endnoteReference w:id="4"/>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3B7AE5">
        <w:rPr>
          <w:rStyle w:val="Verwijzing"/>
        </w:rPr>
        <w:t>7.2</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 xml:space="preserve">bij elkaar in </w:t>
      </w:r>
      <w:r w:rsidRPr="00F1426F">
        <w:lastRenderedPageBreak/>
        <w:t>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