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205F40" w:rsidRPr="00F1426F" w:rsidRDefault="00205F40" w:rsidP="00205F40">
      <w:pPr>
        <w:pStyle w:val="Kop4"/>
      </w:pPr>
      <w:r w:rsidRPr="00F1426F">
        <w:t>Definitie</w:t>
      </w:r>
    </w:p>
    <w:p w14:paraId="420975B3" w14:textId="37AFC9D6" w:rsidR="00205F40" w:rsidRPr="00F1426F" w:rsidRDefault="00205F40" w:rsidP="00205F40">
      <w:r w:rsidRPr="00F1426F">
        <w:t xml:space="preserve">Gebiedsaanwijzing is het objecttype </w:t>
      </w:r>
      <w:r w:rsidR="00231EBF" w:rsidRPr="00231EBF">
        <w:t xml:space="preserve">het Lichaam van de Regeling van </w:t>
      </w:r>
      <w:r w:rsidR="00231EBF"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