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62E71739" w:rsidR="000F0A48" w:rsidRDefault="007B2C73" w:rsidP="007B2C73">
      <w:pPr>
        <w:pStyle w:val="Kop2"/>
      </w:pPr>
      <w:bookmarkStart w:id="345" w:name="_Ref_e64f9e66c5662872df4715d1580d9901_1"/>
      <w:r>
        <w:lastRenderedPageBreak/>
        <w:t xml:space="preserve">Overige modelleringsaspecten van </w:t>
      </w:r>
      <w:fldSimple w:instr=" DOCVARIABLE ID01+ ">
        <w:r w:rsidR="003B7AE5">
          <w:t>de waterschapsverordening</w:t>
        </w:r>
      </w:fldSimple>
      <w:bookmarkEnd w:id="34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