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7B6A" w14:textId="779B3B82" w:rsidR="00E33EDD" w:rsidRPr="00AB2172" w:rsidRDefault="00E813BE" w:rsidP="00E33EDD">
      <w:pPr>
        <w:pStyle w:val="Kop4"/>
      </w:pPr>
      <w:bookmarkStart w:id="22" w:name="_Ref_a01e9620dd87d02eb0df7e2a231e0680_1"/>
      <w:r w:rsidRPr="00AB2172">
        <w:t xml:space="preserve">De inhoud van </w:t>
      </w:r>
      <w:r w:rsidRPr="00AB2172">
        <w:fldChar w:fldCharType="begin"/>
      </w:r>
      <w:r w:rsidRPr="00AB2172">
        <w:instrText>DOCVARIABLE ID01+</w:instrText>
      </w:r>
      <w:r w:rsidRPr="00AB2172">
        <w:fldChar w:fldCharType="separate"/>
      </w:r>
      <w:r w:rsidR="00631221">
        <w:t>de Natura 2000-besluiten</w:t>
      </w:r>
      <w:r w:rsidRPr="00AB2172">
        <w:fldChar w:fldCharType="end"/>
      </w:r>
      <w:bookmarkEnd w:id="2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