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70E96F20" w:rsidR="00E705F3" w:rsidRDefault="00E77F34" w:rsidP="00713915">
      <w:pPr>
        <w:pStyle w:val="Kop3"/>
      </w:pPr>
      <w:r>
        <w:t xml:space="preserve">Besluit, juridisch geldende versie en (geconsolideerde) Regeling van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30BA6324" w14:textId="3819F58D" w:rsidR="00E705F3" w:rsidRDefault="00E77F34" w:rsidP="00713915">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631221">
        <w:t>de Natura 2000-besluiten</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631221">
        <w:t>de Natura 2000-besluiten</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631221">
        <w:t>de Natura 2000-besluiten</w:t>
      </w:r>
      <w:r w:rsidRPr="007B60F8">
        <w:fldChar w:fldCharType="end"/>
      </w:r>
      <w:r w:rsidRPr="00B26823">
        <w:t xml:space="preserve"> </w:t>
      </w:r>
      <w:r w:rsidRPr="007B60F8">
        <w:t>die in DSO-LV te raadplegen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