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72BF" w14:textId="77777777" w:rsidR="00E705F3" w:rsidRPr="00F03DD9" w:rsidRDefault="00E77F34" w:rsidP="00046669">
      <w:pPr>
        <w:pStyle w:val="Kop4"/>
      </w:pPr>
      <w:r w:rsidRPr="00F03DD9">
        <w:t>Doel</w:t>
      </w:r>
    </w:p>
    <w:p w14:paraId="74A61C9A" w14:textId="5849F39B" w:rsidR="00E705F3" w:rsidRPr="00F03DD9" w:rsidRDefault="00E77F34" w:rsidP="00046669">
      <w:pPr>
        <w:pStyle w:val="Opsommingtekens1"/>
        <w:numPr>
          <w:ilvl w:val="0"/>
          <w:numId w:val="0"/>
        </w:numPr>
      </w:pPr>
      <w:r w:rsidRPr="00F03DD9">
        <w:t>Doel van het objecttype SymbolisatieItem is om het bevoegd gezag de mogelijkheid te bieden om zelf de symbolisatie van objecten te bepalen.</w:t>
      </w:r>
    </w:p>
    <w:p w14:paraId="5046740D" w14:textId="23A435F6" w:rsidR="00E705F3" w:rsidRPr="00F03DD9" w:rsidRDefault="00E705F3" w:rsidP="00046669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