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9DB54" w14:textId="77777777" w:rsidR="00E4642D" w:rsidRDefault="00E4642D" w:rsidP="00E4642D">
      <w:pPr>
        <w:pStyle w:val="Kop2"/>
      </w:pPr>
      <w:bookmarkStart w:id="321" w:name="_Ref_d09da45ccacba1bfc50f4b767f073eb0_1"/>
      <w:r>
        <w:lastRenderedPageBreak/>
        <w:t>Mutatiescenario’s</w:t>
      </w:r>
      <w:bookmarkEnd w:id="321"/>
    </w:p>
    <w:p w14:paraId="027FE2A9" w14:textId="77777777" w:rsidR="00E4642D" w:rsidRDefault="00E4642D" w:rsidP="00E4642D">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7F272942" w14:textId="77777777" w:rsidR="00E4642D" w:rsidRDefault="00E4642D" w:rsidP="00E4642D"/>
    <w:p w14:paraId="1C66CE34" w14:textId="692EAB95" w:rsidR="00E4642D" w:rsidRDefault="00E4642D" w:rsidP="00E4642D">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D846EF" w:rsidRPr="00D846EF">
        <w:t>Het element VervangRegeling bevat de gehele gewijzigde nieuwe van de regeling (inclusief bijlagen e.d.).</w:t>
      </w:r>
    </w:p>
    <w:p w14:paraId="2F0169CC" w14:textId="58568B12" w:rsidR="00E4642D" w:rsidRDefault="00E4642D" w:rsidP="00E4642D">
      <w:r>
        <w:t xml:space="preserve">Voor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644486D5" w14:textId="77777777" w:rsidR="00E4642D" w:rsidRDefault="00E4642D" w:rsidP="00E4642D"/>
    <w:p w14:paraId="33F57D69" w14:textId="37BEB002" w:rsidR="00E4642D" w:rsidRDefault="00E4642D" w:rsidP="00E4642D">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550100">
        <w:rPr>
          <w:rStyle w:val="Verwijzing"/>
        </w:rPr>
        <w:fldChar w:fldCharType="begin"/>
      </w:r>
      <w:r w:rsidRPr="00550100">
        <w:rPr>
          <w:rStyle w:val="Verwijzing"/>
        </w:rPr>
        <w:instrText xml:space="preserve"> REF _Ref_d09da45ccacba1bfc50f4b767f073eb0_2 \w \h </w:instrText>
      </w:r>
      <w:r w:rsidRPr="00550100">
        <w:rPr>
          <w:rStyle w:val="Verwijzing"/>
        </w:rPr>
      </w:r>
      <w:r w:rsidRPr="00550100">
        <w:rPr>
          <w:rStyle w:val="Verwijzing"/>
        </w:rPr>
        <w:fldChar w:fldCharType="separate"/>
      </w:r>
      <w:r w:rsidR="00631221">
        <w:rPr>
          <w:rStyle w:val="Verwijzing"/>
        </w:rPr>
        <w:t>Figuur 41</w:t>
      </w:r>
      <w:r w:rsidRPr="00550100">
        <w:rPr>
          <w:rStyle w:val="Verwijzing"/>
        </w:rPr>
        <w:fldChar w:fldCharType="end"/>
      </w:r>
      <w:r>
        <w:t>.</w:t>
      </w:r>
    </w:p>
    <w:p w14:paraId="6BD8EB6D" w14:textId="77777777" w:rsidR="00E4642D" w:rsidRDefault="00E4642D" w:rsidP="00E4642D"/>
    <w:p w14:paraId="7BCC9CF8" w14:textId="77777777" w:rsidR="00E4642D" w:rsidRDefault="00E4642D" w:rsidP="00E4642D">
      <w:pPr>
        <w:pStyle w:val="Figuur"/>
      </w:pPr>
      <w:r>
        <w:rPr>
          <w:noProof/>
        </w:rPr>
        <w:lastRenderedPageBreak/>
        <w:drawing>
          <wp:inline distT="0" distB="0" distL="0" distR="0" wp14:anchorId="1588318C" wp14:editId="24E194F6">
            <wp:extent cx="6084570" cy="696214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84570" cy="6962140"/>
                    </a:xfrm>
                    <a:prstGeom prst="rect">
                      <a:avLst/>
                    </a:prstGeom>
                    <a:noFill/>
                  </pic:spPr>
                </pic:pic>
              </a:graphicData>
            </a:graphic>
          </wp:inline>
        </w:drawing>
      </w:r>
    </w:p>
    <w:p w14:paraId="593D03EB" w14:textId="697F47C5" w:rsidR="00E4642D" w:rsidRPr="00F03DD9" w:rsidRDefault="00E4642D" w:rsidP="00E4642D">
      <w:pPr>
        <w:pStyle w:val="Figuurbijschrift"/>
      </w:pPr>
      <w:bookmarkStart w:id="323" w:name="_Ref_d09da45ccacba1bfc50f4b767f073eb0_2"/>
      <w:r>
        <w:t>Voorbeeld van de tekst van een besluit bij mutatiescenario Integrale Tekstvervanging</w:t>
      </w:r>
      <w:bookmarkEnd w:id="3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79"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