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110" w14:textId="63BB45E2" w:rsidR="004416D3" w:rsidRPr="00F62F31" w:rsidRDefault="00DC26A8" w:rsidP="004416D3">
      <w:pPr>
        <w:pStyle w:val="Kop3"/>
      </w:pPr>
      <w:bookmarkStart w:id="15" w:name="_Ref_ecb18e7d6d21686e83f4b659108683b3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C06EA5">
        <w:t>AMvB/MR</w:t>
      </w:r>
      <w:r w:rsidRPr="00F62F31">
        <w:fldChar w:fldCharType="end"/>
      </w:r>
      <w:bookmarkEnd w:id="15"/>
    </w:p>
    <w:p w14:paraId="15C66DA9" w14:textId="582AF45C" w:rsidR="004416D3" w:rsidRPr="00F62F31" w:rsidRDefault="00DC26A8" w:rsidP="004416D3">
      <w:r w:rsidRPr="00F62F31">
        <w:t xml:space="preserve">In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_Ref_ecb18e7d6d21686e83f4b659108683b3_2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Tabel 1</w:t>
      </w:r>
      <w:r w:rsidRPr="005746FB">
        <w:rPr>
          <w:rStyle w:val="Verwijzing"/>
        </w:rPr>
        <w:fldChar w:fldCharType="end"/>
      </w:r>
      <w:r w:rsidRPr="00F62F31">
        <w:t xml:space="preserve"> tot en met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_Ref_ecb18e7d6d21686e83f4b659108683b3_3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Tabel 3</w:t>
      </w:r>
      <w:r w:rsidRPr="005746FB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C06EA5">
        <w:rPr>
          <w:noProof/>
        </w:rPr>
        <w:t>de AMvB/MR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>
        <w:t>, n</w:t>
      </w:r>
      <w:r w:rsidRPr="00F62F31">
        <w:t>iet om een volledig sluitende beschrijving te geven.</w:t>
      </w:r>
    </w:p>
    <w:p w14:paraId="7869A231" w14:textId="6CF71752" w:rsidR="004416D3" w:rsidRDefault="00DC26A8" w:rsidP="004416D3">
      <w:pPr>
        <w:pStyle w:val="Tabeltitel"/>
      </w:pPr>
      <w:bookmarkStart w:id="16" w:name="_Ref_ecb18e7d6d21686e83f4b659108683b3_2"/>
      <w:r w:rsidRPr="00F62F31">
        <w:lastRenderedPageBreak/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832"/>
        <w:gridCol w:w="2832"/>
        <w:gridCol w:w="2830"/>
      </w:tblGrid>
      <w:tr w:rsidR="0037436D" w:rsidRPr="00C23F01" w14:paraId="3D4D1BB1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781D98C4" w14:textId="77777777" w:rsidR="0037436D" w:rsidRPr="00530648" w:rsidRDefault="0037436D" w:rsidP="004416D3">
            <w:pPr>
              <w:rPr>
                <w:szCs w:val="18"/>
              </w:rPr>
            </w:pPr>
            <w:r w:rsidRPr="00530648">
              <w:rPr>
                <w:szCs w:val="18"/>
              </w:rPr>
              <w:t>Onderwerp</w:t>
            </w:r>
          </w:p>
        </w:tc>
        <w:tc>
          <w:tcPr>
            <w:tcW w:w="1667" w:type="pct"/>
          </w:tcPr>
          <w:p w14:paraId="227A91A3" w14:textId="77777777" w:rsidR="0037436D" w:rsidRPr="00530648" w:rsidRDefault="0037436D" w:rsidP="004416D3">
            <w:pPr>
              <w:rPr>
                <w:szCs w:val="18"/>
              </w:rPr>
            </w:pPr>
            <w:r w:rsidRPr="00530648">
              <w:rPr>
                <w:szCs w:val="18"/>
              </w:rPr>
              <w:t>Specificatie AMvB</w:t>
            </w:r>
          </w:p>
        </w:tc>
        <w:tc>
          <w:tcPr>
            <w:tcW w:w="1666" w:type="pct"/>
          </w:tcPr>
          <w:p w14:paraId="5331EC8F" w14:textId="77777777" w:rsidR="0037436D" w:rsidRPr="00530648" w:rsidRDefault="0037436D" w:rsidP="004416D3">
            <w:pPr>
              <w:rPr>
                <w:szCs w:val="18"/>
              </w:rPr>
            </w:pPr>
            <w:r w:rsidRPr="00530648">
              <w:rPr>
                <w:szCs w:val="18"/>
              </w:rPr>
              <w:t>Specificatie MR</w:t>
            </w:r>
          </w:p>
        </w:tc>
      </w:tr>
      <w:tr w:rsidR="0037436D" w:rsidRPr="00C23F01" w14:paraId="39670B53" w14:textId="77777777" w:rsidTr="004416D3">
        <w:tc>
          <w:tcPr>
            <w:tcW w:w="1667" w:type="pct"/>
          </w:tcPr>
          <w:p w14:paraId="522C24CD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Grondslag rechtsfiguur</w:t>
            </w:r>
          </w:p>
        </w:tc>
        <w:tc>
          <w:tcPr>
            <w:tcW w:w="1667" w:type="pct"/>
          </w:tcPr>
          <w:p w14:paraId="028C9B9A" w14:textId="3840863C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diverse artikelen Omgevingswet, of andere wetten of besluiten</w:t>
            </w:r>
          </w:p>
        </w:tc>
        <w:tc>
          <w:tcPr>
            <w:tcW w:w="1666" w:type="pct"/>
          </w:tcPr>
          <w:p w14:paraId="673A0F3A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 xml:space="preserve">diverse artikelen Omgevingswet </w:t>
            </w:r>
            <w:r w:rsidRPr="00C23F01">
              <w:rPr>
                <w:color w:val="000000" w:themeColor="text1"/>
                <w:szCs w:val="18"/>
              </w:rPr>
              <w:t>of andere wetten of besluiten</w:t>
            </w:r>
            <w:r w:rsidRPr="00C23F01" w:rsidDel="008B045D">
              <w:rPr>
                <w:szCs w:val="18"/>
              </w:rPr>
              <w:t xml:space="preserve"> </w:t>
            </w:r>
          </w:p>
        </w:tc>
      </w:tr>
      <w:tr w:rsidR="0037436D" w:rsidRPr="00C23F01" w14:paraId="0E2D1E39" w14:textId="77777777" w:rsidTr="004416D3">
        <w:tc>
          <w:tcPr>
            <w:tcW w:w="1667" w:type="pct"/>
          </w:tcPr>
          <w:p w14:paraId="412A452C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Voorbereidingsprocedure</w:t>
            </w:r>
          </w:p>
        </w:tc>
        <w:tc>
          <w:tcPr>
            <w:tcW w:w="1667" w:type="pct"/>
          </w:tcPr>
          <w:p w14:paraId="0DAC708B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 xml:space="preserve">Nee, </w:t>
            </w:r>
            <w:r w:rsidRPr="00C23F01">
              <w:rPr>
                <w:szCs w:val="18"/>
              </w:rPr>
              <w:t>afdeling 3.4 Awb niet van toepassing</w:t>
            </w:r>
          </w:p>
        </w:tc>
        <w:tc>
          <w:tcPr>
            <w:tcW w:w="1666" w:type="pct"/>
          </w:tcPr>
          <w:p w14:paraId="2B6649E2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 xml:space="preserve">Nee, </w:t>
            </w:r>
            <w:r w:rsidRPr="00C23F01">
              <w:rPr>
                <w:szCs w:val="18"/>
              </w:rPr>
              <w:t>afdeling 3.4 Awb niet van toepassing</w:t>
            </w:r>
          </w:p>
        </w:tc>
      </w:tr>
      <w:tr w:rsidR="0037436D" w:rsidRPr="00C23F01" w14:paraId="77D1F91B" w14:textId="77777777" w:rsidTr="004416D3">
        <w:tc>
          <w:tcPr>
            <w:tcW w:w="1667" w:type="pct"/>
          </w:tcPr>
          <w:p w14:paraId="73ED303E" w14:textId="77777777" w:rsidR="0037436D" w:rsidRPr="00C23F01" w:rsidRDefault="0037436D" w:rsidP="004416D3">
            <w:pPr>
              <w:rPr>
                <w:szCs w:val="18"/>
              </w:rPr>
            </w:pPr>
            <w:r>
              <w:rPr>
                <w:szCs w:val="18"/>
              </w:rPr>
              <w:t>Consultatie</w:t>
            </w:r>
          </w:p>
        </w:tc>
        <w:tc>
          <w:tcPr>
            <w:tcW w:w="1667" w:type="pct"/>
          </w:tcPr>
          <w:p w14:paraId="6D60BBEC" w14:textId="1E6A7D52" w:rsidR="0037436D" w:rsidRPr="00C23F01" w:rsidRDefault="0037436D" w:rsidP="004416D3">
            <w:pPr>
              <w:rPr>
                <w:szCs w:val="18"/>
              </w:rPr>
            </w:pPr>
            <w:r>
              <w:rPr>
                <w:szCs w:val="18"/>
              </w:rPr>
              <w:t>Eenieder wordt langs elektronische weg in de gelegenheid gesteld gedurende een periode van ten minste vier weken opmerkingen te maken</w:t>
            </w:r>
          </w:p>
        </w:tc>
        <w:tc>
          <w:tcPr>
            <w:tcW w:w="1666" w:type="pct"/>
          </w:tcPr>
          <w:p w14:paraId="33164140" w14:textId="76567E3D" w:rsidR="0037436D" w:rsidRPr="00C23F01" w:rsidRDefault="0037436D" w:rsidP="004416D3">
            <w:pPr>
              <w:rPr>
                <w:szCs w:val="18"/>
              </w:rPr>
            </w:pPr>
            <w:r>
              <w:rPr>
                <w:szCs w:val="18"/>
              </w:rPr>
              <w:t>Eenieder wordt langs elektronische weg in de gelegenheid gesteld gedurende een periode van ten minste vier weken opmerkingen te maken</w:t>
            </w:r>
          </w:p>
        </w:tc>
      </w:tr>
      <w:tr w:rsidR="00EE64C2" w:rsidRPr="00C23F01" w14:paraId="0D9497FA" w14:textId="77777777" w:rsidTr="004416D3">
        <w:tc>
          <w:tcPr>
            <w:tcW w:w="1667" w:type="pct"/>
          </w:tcPr>
          <w:p w14:paraId="4B5F6275" w14:textId="284281B0" w:rsidR="00EE64C2" w:rsidRDefault="00EE64C2" w:rsidP="004416D3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Wijze van bekendmaking</w:t>
            </w:r>
          </w:p>
        </w:tc>
        <w:tc>
          <w:tcPr>
            <w:tcW w:w="1667" w:type="pct"/>
          </w:tcPr>
          <w:p w14:paraId="255105F0" w14:textId="716B6188" w:rsidR="00EE64C2" w:rsidRDefault="00FF28F1" w:rsidP="004416D3">
            <w:r w:rsidRPr="00FF28F1">
              <w:t>Bekendmaking door plaatsing van het volledige besluit in het</w:t>
            </w:r>
            <w:r>
              <w:t xml:space="preserve"> Staatsblad</w:t>
            </w:r>
          </w:p>
        </w:tc>
        <w:tc>
          <w:tcPr>
            <w:tcW w:w="1666" w:type="pct"/>
          </w:tcPr>
          <w:p w14:paraId="305D7D17" w14:textId="0FA5D795" w:rsidR="00EE64C2" w:rsidRDefault="00FF28F1" w:rsidP="004416D3">
            <w:pPr>
              <w:rPr>
                <w:szCs w:val="18"/>
              </w:rPr>
            </w:pPr>
            <w:r w:rsidRPr="00FF28F1">
              <w:rPr>
                <w:szCs w:val="18"/>
              </w:rPr>
              <w:t xml:space="preserve">Bekendmaking door plaatsing van het volledige besluit in </w:t>
            </w:r>
            <w:r>
              <w:rPr>
                <w:szCs w:val="18"/>
              </w:rPr>
              <w:t>de Staatscourant</w:t>
            </w:r>
          </w:p>
        </w:tc>
      </w:tr>
      <w:tr w:rsidR="0037436D" w:rsidRPr="00C23F01" w14:paraId="049631CF" w14:textId="77777777" w:rsidTr="004416D3">
        <w:tc>
          <w:tcPr>
            <w:tcW w:w="1667" w:type="pct"/>
          </w:tcPr>
          <w:p w14:paraId="4E8D56E6" w14:textId="66A87DE4" w:rsidR="0037436D" w:rsidRPr="00C23F01" w:rsidRDefault="00C00D8A" w:rsidP="004416D3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Tijdstip</w:t>
            </w:r>
            <w:r w:rsidR="0069208A">
              <w:rPr>
                <w:color w:val="000000" w:themeColor="text1"/>
                <w:szCs w:val="18"/>
              </w:rPr>
              <w:t xml:space="preserve"> i</w:t>
            </w:r>
            <w:r w:rsidR="0037436D" w:rsidRPr="00C23F01">
              <w:rPr>
                <w:color w:val="000000" w:themeColor="text1"/>
                <w:szCs w:val="18"/>
              </w:rPr>
              <w:t>nwerkingtreding</w:t>
            </w:r>
          </w:p>
        </w:tc>
        <w:tc>
          <w:tcPr>
            <w:tcW w:w="1667" w:type="pct"/>
          </w:tcPr>
          <w:p w14:paraId="1F4B9BFC" w14:textId="03B65AE6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t xml:space="preserve">Wordt geregeld in </w:t>
            </w:r>
            <w:r w:rsidR="003213D7">
              <w:t>de AMvB</w:t>
            </w:r>
            <w:r>
              <w:t xml:space="preserve"> zelf, of in een afzonderlijk besluit. Als het niet geregeld is </w:t>
            </w:r>
            <w:r w:rsidRPr="00D25445">
              <w:t>de eerste dag van de tweede kalendermaand na de datum van uitgifte van het Staatsblad</w:t>
            </w:r>
          </w:p>
        </w:tc>
        <w:tc>
          <w:tcPr>
            <w:tcW w:w="1666" w:type="pct"/>
          </w:tcPr>
          <w:p w14:paraId="32ABD1A3" w14:textId="5890738C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>Wordt geregeld in de MR zelf</w:t>
            </w:r>
            <w:r w:rsidR="00492BD1" w:rsidRPr="00492BD1">
              <w:rPr>
                <w:szCs w:val="18"/>
              </w:rPr>
              <w:t>, of in een afzonderlijk besluit</w:t>
            </w:r>
            <w:r>
              <w:rPr>
                <w:szCs w:val="18"/>
              </w:rPr>
              <w:t>.</w:t>
            </w:r>
          </w:p>
        </w:tc>
      </w:tr>
      <w:tr w:rsidR="0037436D" w:rsidRPr="00C23F01" w14:paraId="5FCD330E" w14:textId="77777777" w:rsidTr="004416D3">
        <w:tc>
          <w:tcPr>
            <w:tcW w:w="1667" w:type="pct"/>
          </w:tcPr>
          <w:p w14:paraId="110192A4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Rechtsbescherming</w:t>
            </w:r>
          </w:p>
        </w:tc>
        <w:tc>
          <w:tcPr>
            <w:tcW w:w="1667" w:type="pct"/>
          </w:tcPr>
          <w:p w14:paraId="04635926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geen bezwaar en beroep mogelijk</w:t>
            </w:r>
          </w:p>
        </w:tc>
        <w:tc>
          <w:tcPr>
            <w:tcW w:w="1666" w:type="pct"/>
          </w:tcPr>
          <w:p w14:paraId="725FC9CA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geen bezwaar en beroep mogelijk</w:t>
            </w:r>
          </w:p>
        </w:tc>
      </w:tr>
      <w:tr w:rsidR="0037436D" w:rsidRPr="00C23F01" w14:paraId="7FB4B391" w14:textId="77777777" w:rsidTr="004416D3">
        <w:tc>
          <w:tcPr>
            <w:tcW w:w="1667" w:type="pct"/>
          </w:tcPr>
          <w:p w14:paraId="5E2C96D9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Geldt toepassingsprofiel ook voor ontwerpbesluit</w:t>
            </w:r>
          </w:p>
        </w:tc>
        <w:tc>
          <w:tcPr>
            <w:tcW w:w="1667" w:type="pct"/>
          </w:tcPr>
          <w:p w14:paraId="6FA3D8D9" w14:textId="77777777" w:rsidR="0037436D" w:rsidRPr="00C23F01" w:rsidRDefault="0037436D" w:rsidP="004416D3">
            <w:pPr>
              <w:spacing w:line="240" w:lineRule="exact"/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>Nee</w:t>
            </w:r>
          </w:p>
        </w:tc>
        <w:tc>
          <w:tcPr>
            <w:tcW w:w="1666" w:type="pct"/>
          </w:tcPr>
          <w:p w14:paraId="7BC2EAC0" w14:textId="77777777" w:rsidR="0037436D" w:rsidRPr="00C23F01" w:rsidRDefault="0037436D" w:rsidP="004416D3">
            <w:pPr>
              <w:spacing w:line="240" w:lineRule="exact"/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</w:t>
            </w:r>
          </w:p>
        </w:tc>
      </w:tr>
      <w:tr w:rsidR="0037436D" w:rsidRPr="00C23F01" w14:paraId="5E8C9EA0" w14:textId="77777777" w:rsidTr="004416D3">
        <w:tc>
          <w:tcPr>
            <w:tcW w:w="1667" w:type="pct"/>
          </w:tcPr>
          <w:p w14:paraId="5259D090" w14:textId="0BB84BCC" w:rsidR="0037436D" w:rsidRPr="00C23F01" w:rsidRDefault="0037436D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Rechtsfiguur roept meldingsplicht of vergunningplicht in het leven</w:t>
            </w:r>
          </w:p>
        </w:tc>
        <w:tc>
          <w:tcPr>
            <w:tcW w:w="1667" w:type="pct"/>
          </w:tcPr>
          <w:p w14:paraId="5AA30D23" w14:textId="01EB696E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bij AMvB kunnen activiteiten worden aangewezen waarvoor een vergunningplicht, al dan niet een meldingsplicht geldt</w:t>
            </w:r>
          </w:p>
        </w:tc>
        <w:tc>
          <w:tcPr>
            <w:tcW w:w="1666" w:type="pct"/>
          </w:tcPr>
          <w:p w14:paraId="3C3BD5FA" w14:textId="77777777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Nee</w:t>
            </w:r>
          </w:p>
        </w:tc>
      </w:tr>
      <w:tr w:rsidR="0037436D" w:rsidRPr="00C23F01" w14:paraId="3AB6A8F2" w14:textId="77777777" w:rsidTr="004416D3">
        <w:tc>
          <w:tcPr>
            <w:tcW w:w="1667" w:type="pct"/>
          </w:tcPr>
          <w:p w14:paraId="53AE52EA" w14:textId="77777777" w:rsidR="0037436D" w:rsidRPr="00C23F01" w:rsidRDefault="0037436D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Rechtsfiguur bevat bepalingen waaraan aanvragen om omgevingsvergunning rechtstreeks getoetst moeten worden</w:t>
            </w:r>
          </w:p>
        </w:tc>
        <w:tc>
          <w:tcPr>
            <w:tcW w:w="1667" w:type="pct"/>
          </w:tcPr>
          <w:p w14:paraId="61AFBF56" w14:textId="702011F2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AMvB bevat rechtstreeks werkende regels waar vergunningaanvragen aan getoetst moeten worden</w:t>
            </w:r>
          </w:p>
        </w:tc>
        <w:tc>
          <w:tcPr>
            <w:tcW w:w="1666" w:type="pct"/>
          </w:tcPr>
          <w:p w14:paraId="2E4C2866" w14:textId="2C9EED8D" w:rsidR="0037436D" w:rsidRPr="00C61EBC" w:rsidRDefault="0037436D" w:rsidP="004416D3">
            <w:pPr>
              <w:tabs>
                <w:tab w:val="left" w:pos="615"/>
              </w:tabs>
              <w:rPr>
                <w:szCs w:val="18"/>
              </w:rPr>
            </w:pPr>
            <w:r w:rsidRPr="00C23F01">
              <w:rPr>
                <w:szCs w:val="18"/>
              </w:rPr>
              <w:t xml:space="preserve">Ja, </w:t>
            </w:r>
            <w:r>
              <w:rPr>
                <w:szCs w:val="18"/>
              </w:rPr>
              <w:t>MR</w:t>
            </w:r>
            <w:r w:rsidRPr="00C23F01">
              <w:rPr>
                <w:szCs w:val="18"/>
              </w:rPr>
              <w:t xml:space="preserve"> bevat rechtstreeks werkende regels waar vergunningaanvragen aan getoetst moeten worden</w:t>
            </w:r>
          </w:p>
        </w:tc>
      </w:tr>
      <w:tr w:rsidR="0037436D" w:rsidRPr="00C23F01" w14:paraId="29021710" w14:textId="77777777" w:rsidTr="004416D3">
        <w:tc>
          <w:tcPr>
            <w:tcW w:w="1667" w:type="pct"/>
          </w:tcPr>
          <w:p w14:paraId="0C7C283B" w14:textId="77777777" w:rsidR="0037436D" w:rsidRPr="00C23F01" w:rsidRDefault="0037436D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Rechtsfiguur bevat voor eenieder bindende regels</w:t>
            </w:r>
          </w:p>
        </w:tc>
        <w:tc>
          <w:tcPr>
            <w:tcW w:w="1667" w:type="pct"/>
          </w:tcPr>
          <w:p w14:paraId="12200A85" w14:textId="77777777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AMvB kan rechtstreeks werkende regels gericht op burgers en bedrijven bevatten</w:t>
            </w:r>
          </w:p>
        </w:tc>
        <w:tc>
          <w:tcPr>
            <w:tcW w:w="1666" w:type="pct"/>
          </w:tcPr>
          <w:p w14:paraId="724054CC" w14:textId="77777777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MR kan rechtstreeks werkende regels gericht op burgers en bedrijven bevatten</w:t>
            </w:r>
          </w:p>
        </w:tc>
      </w:tr>
    </w:tbl>
    <w:p w14:paraId="69605AB3" w14:textId="1AF769D9" w:rsidR="004416D3" w:rsidRDefault="00DC26A8" w:rsidP="004416D3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3294"/>
        <w:gridCol w:w="2642"/>
        <w:gridCol w:w="2558"/>
      </w:tblGrid>
      <w:tr w:rsidR="00572E0E" w:rsidRPr="00AE3E10" w14:paraId="076F7E3B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9" w:type="pct"/>
          </w:tcPr>
          <w:p w14:paraId="6334B23D" w14:textId="77777777" w:rsidR="00572E0E" w:rsidRPr="00AE3E10" w:rsidRDefault="00572E0E" w:rsidP="004416D3">
            <w:pPr>
              <w:rPr>
                <w:szCs w:val="18"/>
              </w:rPr>
            </w:pPr>
            <w:r w:rsidRPr="00AE3E10">
              <w:rPr>
                <w:szCs w:val="18"/>
              </w:rPr>
              <w:t>Onderwerp</w:t>
            </w:r>
          </w:p>
        </w:tc>
        <w:tc>
          <w:tcPr>
            <w:tcW w:w="1555" w:type="pct"/>
          </w:tcPr>
          <w:p w14:paraId="77A6C811" w14:textId="77777777" w:rsidR="00572E0E" w:rsidRPr="00AE3E10" w:rsidRDefault="00572E0E" w:rsidP="004416D3">
            <w:pPr>
              <w:contextualSpacing/>
              <w:rPr>
                <w:szCs w:val="18"/>
              </w:rPr>
            </w:pPr>
            <w:r w:rsidRPr="00AE3E10">
              <w:rPr>
                <w:szCs w:val="18"/>
              </w:rPr>
              <w:t>Specificatie AMvB</w:t>
            </w:r>
          </w:p>
        </w:tc>
        <w:tc>
          <w:tcPr>
            <w:tcW w:w="1506" w:type="pct"/>
          </w:tcPr>
          <w:p w14:paraId="54562252" w14:textId="77777777" w:rsidR="00572E0E" w:rsidRPr="00AE3E10" w:rsidRDefault="00572E0E" w:rsidP="004416D3">
            <w:pPr>
              <w:contextualSpacing/>
              <w:rPr>
                <w:szCs w:val="18"/>
              </w:rPr>
            </w:pPr>
            <w:r w:rsidRPr="00AE3E10">
              <w:rPr>
                <w:szCs w:val="18"/>
              </w:rPr>
              <w:t>Specificatie MR</w:t>
            </w:r>
          </w:p>
        </w:tc>
      </w:tr>
      <w:tr w:rsidR="00572E0E" w:rsidRPr="00C23F01" w14:paraId="5F8C6117" w14:textId="77777777" w:rsidTr="004416D3">
        <w:tc>
          <w:tcPr>
            <w:tcW w:w="1939" w:type="pct"/>
          </w:tcPr>
          <w:p w14:paraId="5B4A5A20" w14:textId="77777777" w:rsidR="00572E0E" w:rsidRPr="00C23F01" w:rsidRDefault="00572E0E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Bevoegde bestuurslaag</w:t>
            </w:r>
          </w:p>
        </w:tc>
        <w:tc>
          <w:tcPr>
            <w:tcW w:w="1555" w:type="pct"/>
          </w:tcPr>
          <w:p w14:paraId="4E705C69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Rijk</w:t>
            </w:r>
          </w:p>
        </w:tc>
        <w:tc>
          <w:tcPr>
            <w:tcW w:w="1506" w:type="pct"/>
          </w:tcPr>
          <w:p w14:paraId="4795F95E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Rijk</w:t>
            </w:r>
          </w:p>
        </w:tc>
      </w:tr>
      <w:tr w:rsidR="00572E0E" w:rsidRPr="00C23F01" w14:paraId="1C08CD10" w14:textId="77777777" w:rsidTr="004416D3">
        <w:tc>
          <w:tcPr>
            <w:tcW w:w="1939" w:type="pct"/>
          </w:tcPr>
          <w:p w14:paraId="2775964F" w14:textId="77777777" w:rsidR="00572E0E" w:rsidRPr="00C23F01" w:rsidRDefault="00572E0E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lastRenderedPageBreak/>
              <w:t>Bestuursorgaan</w:t>
            </w:r>
          </w:p>
        </w:tc>
        <w:tc>
          <w:tcPr>
            <w:tcW w:w="1555" w:type="pct"/>
          </w:tcPr>
          <w:p w14:paraId="65141E34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Regering</w:t>
            </w:r>
          </w:p>
        </w:tc>
        <w:tc>
          <w:tcPr>
            <w:tcW w:w="1506" w:type="pct"/>
          </w:tcPr>
          <w:p w14:paraId="4FD791FF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Minister</w:t>
            </w:r>
          </w:p>
        </w:tc>
      </w:tr>
      <w:tr w:rsidR="00572E0E" w:rsidRPr="00C23F01" w14:paraId="604D9419" w14:textId="77777777" w:rsidTr="004416D3">
        <w:tc>
          <w:tcPr>
            <w:tcW w:w="1939" w:type="pct"/>
          </w:tcPr>
          <w:p w14:paraId="529B537D" w14:textId="77777777" w:rsidR="00572E0E" w:rsidRPr="00C23F01" w:rsidRDefault="00572E0E" w:rsidP="004416D3">
            <w:pPr>
              <w:rPr>
                <w:rFonts w:eastAsia="Verdana" w:cs="Verdana"/>
                <w:szCs w:val="18"/>
              </w:rPr>
            </w:pP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kan rechtstreeks ander </w:t>
            </w: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wijzigen (meervoudig bronhouderschap)</w:t>
            </w:r>
          </w:p>
        </w:tc>
        <w:tc>
          <w:tcPr>
            <w:tcW w:w="1555" w:type="pct"/>
          </w:tcPr>
          <w:p w14:paraId="2BDEC94A" w14:textId="77777777" w:rsidR="00572E0E" w:rsidRPr="00C23F01" w:rsidRDefault="00572E0E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  <w:tc>
          <w:tcPr>
            <w:tcW w:w="1506" w:type="pct"/>
          </w:tcPr>
          <w:p w14:paraId="1CDCDE6C" w14:textId="6CA975CD" w:rsidR="00572E0E" w:rsidRPr="00C23F01" w:rsidRDefault="001C30FA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572E0E" w:rsidRPr="00C23F01" w14:paraId="75E2105B" w14:textId="77777777" w:rsidTr="004416D3">
        <w:tc>
          <w:tcPr>
            <w:tcW w:w="1939" w:type="pct"/>
          </w:tcPr>
          <w:p w14:paraId="1B376C22" w14:textId="77777777" w:rsidR="00572E0E" w:rsidRPr="00C23F01" w:rsidRDefault="00572E0E" w:rsidP="004416D3">
            <w:pPr>
              <w:rPr>
                <w:rFonts w:eastAsia="Verdana" w:cs="Verdana"/>
                <w:szCs w:val="18"/>
              </w:rPr>
            </w:pPr>
            <w:r w:rsidRPr="00C23F01">
              <w:rPr>
                <w:szCs w:val="18"/>
              </w:rPr>
              <w:t xml:space="preserve">Ander </w:t>
            </w: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kan rechtstreeks onderhavig </w:t>
            </w: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wijzigen (meervoudig bronhouderschap)</w:t>
            </w:r>
          </w:p>
        </w:tc>
        <w:tc>
          <w:tcPr>
            <w:tcW w:w="1555" w:type="pct"/>
          </w:tcPr>
          <w:p w14:paraId="383C2127" w14:textId="6C8177ED" w:rsidR="00572E0E" w:rsidRDefault="00572E0E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  <w:p w14:paraId="62E2055F" w14:textId="2CFD466B" w:rsidR="00572E0E" w:rsidRPr="00A0271D" w:rsidRDefault="00572E0E" w:rsidP="004416D3">
            <w:pPr>
              <w:rPr>
                <w:szCs w:val="18"/>
              </w:rPr>
            </w:pPr>
          </w:p>
        </w:tc>
        <w:tc>
          <w:tcPr>
            <w:tcW w:w="1506" w:type="pct"/>
          </w:tcPr>
          <w:p w14:paraId="13F4E75B" w14:textId="6C1B4CFB" w:rsidR="00572E0E" w:rsidRDefault="00572E0E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  <w:p w14:paraId="355C395E" w14:textId="77777777" w:rsidR="00572E0E" w:rsidRDefault="00572E0E" w:rsidP="004416D3">
            <w:pPr>
              <w:rPr>
                <w:szCs w:val="18"/>
              </w:rPr>
            </w:pPr>
          </w:p>
          <w:p w14:paraId="2E11A48A" w14:textId="0B834092" w:rsidR="00572E0E" w:rsidRPr="00C23F01" w:rsidRDefault="00572E0E" w:rsidP="004416D3">
            <w:pPr>
              <w:rPr>
                <w:szCs w:val="18"/>
              </w:rPr>
            </w:pPr>
          </w:p>
        </w:tc>
      </w:tr>
      <w:tr w:rsidR="00572E0E" w:rsidRPr="00C23F01" w14:paraId="15B5378E" w14:textId="77777777" w:rsidTr="004416D3">
        <w:tc>
          <w:tcPr>
            <w:tcW w:w="1939" w:type="pct"/>
          </w:tcPr>
          <w:p w14:paraId="7C9A652C" w14:textId="77777777" w:rsidR="00572E0E" w:rsidRPr="00C23F01" w:rsidRDefault="00572E0E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Rechtsfiguur kan gewijzigd worden door wijzigingsbesluiten</w:t>
            </w:r>
          </w:p>
        </w:tc>
        <w:tc>
          <w:tcPr>
            <w:tcW w:w="1555" w:type="pct"/>
          </w:tcPr>
          <w:p w14:paraId="4A283B66" w14:textId="77777777" w:rsidR="00572E0E" w:rsidRPr="00C23F01" w:rsidRDefault="00572E0E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Ja</w:t>
            </w:r>
          </w:p>
        </w:tc>
        <w:tc>
          <w:tcPr>
            <w:tcW w:w="1506" w:type="pct"/>
          </w:tcPr>
          <w:p w14:paraId="047B9FFC" w14:textId="77777777" w:rsidR="00572E0E" w:rsidRPr="00C23F01" w:rsidRDefault="00572E0E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</w:t>
            </w:r>
          </w:p>
        </w:tc>
      </w:tr>
    </w:tbl>
    <w:p w14:paraId="428C8C0E" w14:textId="1C7BA7F1" w:rsidR="004416D3" w:rsidRDefault="00DC26A8" w:rsidP="004416D3">
      <w:pPr>
        <w:pStyle w:val="Tabeltitel"/>
      </w:pPr>
      <w:bookmarkStart w:id="17" w:name="_Ref_ecb18e7d6d21686e83f4b659108683b3_3"/>
      <w:r w:rsidRPr="00F62F31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99"/>
        <w:gridCol w:w="2791"/>
        <w:gridCol w:w="2704"/>
      </w:tblGrid>
      <w:tr w:rsidR="005336F1" w:rsidRPr="004E00F6" w14:paraId="4763EEAF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</w:tcPr>
          <w:p w14:paraId="77B84C6F" w14:textId="77777777" w:rsidR="005336F1" w:rsidRPr="00C23F01" w:rsidRDefault="005336F1" w:rsidP="004416D3">
            <w:pPr>
              <w:rPr>
                <w:szCs w:val="18"/>
              </w:rPr>
            </w:pPr>
            <w:r w:rsidRPr="004A3A27">
              <w:rPr>
                <w:szCs w:val="18"/>
              </w:rPr>
              <w:t>Onderwerp</w:t>
            </w:r>
          </w:p>
        </w:tc>
        <w:tc>
          <w:tcPr>
            <w:tcW w:w="1643" w:type="pct"/>
          </w:tcPr>
          <w:p w14:paraId="74593455" w14:textId="77777777" w:rsidR="005336F1" w:rsidRPr="00C23F01" w:rsidRDefault="005336F1" w:rsidP="004416D3">
            <w:pPr>
              <w:rPr>
                <w:szCs w:val="18"/>
              </w:rPr>
            </w:pPr>
            <w:r w:rsidRPr="004A3A27">
              <w:rPr>
                <w:szCs w:val="18"/>
              </w:rPr>
              <w:t>Specificatie AMvB</w:t>
            </w:r>
          </w:p>
        </w:tc>
        <w:tc>
          <w:tcPr>
            <w:tcW w:w="1592" w:type="pct"/>
          </w:tcPr>
          <w:p w14:paraId="1D39A461" w14:textId="77777777" w:rsidR="005336F1" w:rsidRPr="004E00F6" w:rsidRDefault="005336F1" w:rsidP="004416D3">
            <w:pPr>
              <w:rPr>
                <w:szCs w:val="18"/>
              </w:rPr>
            </w:pPr>
            <w:r w:rsidRPr="004A3A27">
              <w:rPr>
                <w:szCs w:val="18"/>
              </w:rPr>
              <w:t>Specificatie MR</w:t>
            </w:r>
          </w:p>
        </w:tc>
      </w:tr>
      <w:tr w:rsidR="005336F1" w:rsidRPr="004E00F6" w14:paraId="077BD8B4" w14:textId="77777777" w:rsidTr="004416D3">
        <w:tc>
          <w:tcPr>
            <w:tcW w:w="1765" w:type="pct"/>
          </w:tcPr>
          <w:p w14:paraId="5FC89A6C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Vergelijkbaar met/ voortzetting van huidige rechtsfiguur</w:t>
            </w:r>
          </w:p>
        </w:tc>
        <w:tc>
          <w:tcPr>
            <w:tcW w:w="1643" w:type="pct"/>
          </w:tcPr>
          <w:p w14:paraId="2DD8FBD3" w14:textId="4A61FB41" w:rsidR="005336F1" w:rsidRPr="004E00F6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Algemene Maatregel van Bestuur op basis van Wro</w:t>
            </w:r>
            <w:r>
              <w:rPr>
                <w:szCs w:val="18"/>
              </w:rPr>
              <w:t>, Wabo, Woningwet, Wet milieubeheer</w:t>
            </w:r>
          </w:p>
        </w:tc>
        <w:tc>
          <w:tcPr>
            <w:tcW w:w="1592" w:type="pct"/>
          </w:tcPr>
          <w:p w14:paraId="78419847" w14:textId="2BF0B871" w:rsidR="005336F1" w:rsidRPr="004E00F6" w:rsidRDefault="005336F1" w:rsidP="004416D3">
            <w:pPr>
              <w:rPr>
                <w:color w:val="000000" w:themeColor="text1"/>
                <w:szCs w:val="18"/>
              </w:rPr>
            </w:pPr>
            <w:r w:rsidRPr="004E00F6">
              <w:rPr>
                <w:szCs w:val="18"/>
              </w:rPr>
              <w:t>Ministeriële Rege</w:t>
            </w:r>
            <w:r w:rsidRPr="00C23F01">
              <w:rPr>
                <w:szCs w:val="18"/>
              </w:rPr>
              <w:t>ling op basis van Wro</w:t>
            </w:r>
            <w:r>
              <w:rPr>
                <w:szCs w:val="18"/>
              </w:rPr>
              <w:t>, Wabo, Woningwet, Wet milieubeheer</w:t>
            </w:r>
          </w:p>
        </w:tc>
      </w:tr>
      <w:tr w:rsidR="005336F1" w:rsidRPr="00C23F01" w14:paraId="58FDCED9" w14:textId="77777777" w:rsidTr="004416D3">
        <w:tc>
          <w:tcPr>
            <w:tcW w:w="1765" w:type="pct"/>
          </w:tcPr>
          <w:p w14:paraId="35351D13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4E00F6">
              <w:rPr>
                <w:color w:val="000000"/>
                <w:shd w:val="clear" w:color="auto" w:fill="FFFFFF"/>
              </w:rPr>
              <w:t>Voortzetting van</w:t>
            </w:r>
            <w:r w:rsidRPr="25C5C923">
              <w:rPr>
                <w:color w:val="000000"/>
                <w:shd w:val="clear" w:color="auto" w:fill="FFFFFF"/>
              </w:rPr>
              <w:t xml:space="preserve"> instrument in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25C5C923">
              <w:rPr>
                <w:color w:val="000000"/>
                <w:shd w:val="clear" w:color="auto" w:fill="FFFFFF"/>
              </w:rPr>
              <w:t>RO Standaarden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643" w:type="pct"/>
          </w:tcPr>
          <w:p w14:paraId="51A937C5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Ja, AMvB</w:t>
            </w:r>
          </w:p>
        </w:tc>
        <w:tc>
          <w:tcPr>
            <w:tcW w:w="1592" w:type="pct"/>
          </w:tcPr>
          <w:p w14:paraId="63CD608C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Ja, Ministeriële Regeling</w:t>
            </w:r>
          </w:p>
        </w:tc>
      </w:tr>
      <w:tr w:rsidR="005336F1" w:rsidRPr="00C23F01" w14:paraId="1C4E759E" w14:textId="77777777" w:rsidTr="004416D3">
        <w:tc>
          <w:tcPr>
            <w:tcW w:w="1765" w:type="pct"/>
          </w:tcPr>
          <w:p w14:paraId="1BF53B91" w14:textId="77777777" w:rsidR="005336F1" w:rsidRPr="00C23F01" w:rsidRDefault="005336F1" w:rsidP="004416D3">
            <w:pPr>
              <w:rPr>
                <w:color w:val="000000"/>
                <w:szCs w:val="18"/>
                <w:shd w:val="clear" w:color="auto" w:fill="FFFFFF"/>
              </w:rPr>
            </w:pPr>
            <w:r w:rsidRPr="25C5C923">
              <w:rPr>
                <w:color w:val="000000"/>
                <w:shd w:val="clear" w:color="auto" w:fill="FFFFFF"/>
              </w:rPr>
              <w:t>INSPIRE thema</w:t>
            </w:r>
          </w:p>
        </w:tc>
        <w:tc>
          <w:tcPr>
            <w:tcW w:w="1643" w:type="pct"/>
          </w:tcPr>
          <w:p w14:paraId="29FAF043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Meerdere INSPIRE thema</w:t>
            </w:r>
            <w:r>
              <w:rPr>
                <w:color w:val="000000" w:themeColor="text1"/>
                <w:szCs w:val="18"/>
              </w:rPr>
              <w:t>’</w:t>
            </w:r>
            <w:r w:rsidRPr="00C23F01">
              <w:rPr>
                <w:color w:val="000000" w:themeColor="text1"/>
                <w:szCs w:val="18"/>
              </w:rPr>
              <w:t>s</w:t>
            </w:r>
          </w:p>
        </w:tc>
        <w:tc>
          <w:tcPr>
            <w:tcW w:w="1592" w:type="pct"/>
          </w:tcPr>
          <w:p w14:paraId="1ADFF1DD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35405E">
              <w:rPr>
                <w:color w:val="000000" w:themeColor="text1"/>
                <w:szCs w:val="18"/>
              </w:rPr>
              <w:t>Meerdere INSPIRE thema</w:t>
            </w:r>
            <w:r>
              <w:rPr>
                <w:color w:val="000000" w:themeColor="text1"/>
                <w:szCs w:val="18"/>
              </w:rPr>
              <w:t>’</w:t>
            </w:r>
            <w:r w:rsidRPr="0035405E">
              <w:rPr>
                <w:color w:val="000000" w:themeColor="text1"/>
                <w:szCs w:val="18"/>
              </w:rPr>
              <w:t>s</w:t>
            </w:r>
          </w:p>
        </w:tc>
      </w:tr>
    </w:tbl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