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089D" w14:textId="45F1F205" w:rsidR="004416D3" w:rsidRPr="00F62F31" w:rsidRDefault="00122BF5" w:rsidP="004416D3">
      <w:pPr>
        <w:pStyle w:val="Kop3"/>
      </w:pPr>
      <w:bookmarkStart w:id="19" w:name="_Ref_6eab5308c4bddcd2fe476ee045495f13_1"/>
      <w:r>
        <w:t xml:space="preserve">De inhoud van </w:t>
      </w:r>
      <w:r w:rsidR="00000000">
        <w:fldChar w:fldCharType="begin"/>
      </w:r>
      <w:r w:rsidR="00000000">
        <w:instrText xml:space="preserve"> DOCVARIABLE ID01 </w:instrText>
      </w:r>
      <w:r w:rsidR="00000000">
        <w:fldChar w:fldCharType="separate"/>
      </w:r>
      <w:r w:rsidR="00C06EA5">
        <w:t>AMvB/MR</w:t>
      </w:r>
      <w:r w:rsidR="00000000">
        <w:fldChar w:fldCharType="end"/>
      </w:r>
      <w:bookmarkEnd w:id="19"/>
    </w:p>
    <w:p w14:paraId="457588A5" w14:textId="649FBDD4" w:rsidR="004416D3" w:rsidRPr="00F62F31" w:rsidRDefault="00DC26A8" w:rsidP="004416D3">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C06EA5">
        <w:rPr>
          <w:noProof/>
        </w:rPr>
        <w:t>de AMvB/MR</w:t>
      </w:r>
      <w:r w:rsidRPr="00F62F31">
        <w:fldChar w:fldCharType="end"/>
      </w:r>
      <w:r w:rsidRPr="00F62F31">
        <w:t xml:space="preserve"> regels gesteld moeten of kunnen worden. Wel is bepaald welke aspecten de fysieke leefomgeving in ieder geval omvat en welke gevolgen worden aangemerkt als gevolgen voor de fysieke leefomgeving.</w:t>
      </w:r>
    </w:p>
    <w:p w14:paraId="4907F470" w14:textId="18B3ACD3" w:rsidR="004416D3" w:rsidRPr="00F62F31" w:rsidRDefault="00DC26A8" w:rsidP="004416D3">
      <w:r w:rsidRPr="00F62F31">
        <w:t xml:space="preserve">In de wet staan vervolgens -soms expliciet, </w:t>
      </w:r>
      <w:r>
        <w:t>soms</w:t>
      </w:r>
      <w:r w:rsidRPr="00F62F31">
        <w:t xml:space="preserve"> ook impliciet- specifiekere bepalingen over de inhoud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C06EA5">
        <w:rPr>
          <w:noProof/>
        </w:rPr>
        <w:t>de AMvB/MR</w:t>
      </w:r>
      <w:r w:rsidRPr="00F62F31">
        <w:fldChar w:fldCharType="end"/>
      </w:r>
      <w:r w:rsidRPr="00F62F31">
        <w:t xml:space="preserve">, zoals het aanwijzen van onderwerpen waarover regels alleen in een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C06EA5">
        <w:rPr>
          <w:noProof/>
        </w:rPr>
        <w:t>AMvB/MR</w:t>
      </w:r>
      <w:r w:rsidRPr="00F62F31">
        <w:fldChar w:fldCharType="end"/>
      </w:r>
      <w:r w:rsidRPr="00F62F31">
        <w:t xml:space="preserve"> mogen worden opgenomen.</w:t>
      </w:r>
    </w:p>
    <w:p w14:paraId="51394600" w14:textId="77777777" w:rsidR="004416D3" w:rsidRPr="00F62F31" w:rsidRDefault="004416D3" w:rsidP="004416D3"/>
    <w:p w14:paraId="0578E506" w14:textId="59561454" w:rsidR="004416D3" w:rsidRPr="00F62F31" w:rsidRDefault="00DC26A8" w:rsidP="004416D3">
      <w:r w:rsidRPr="005746FB">
        <w:rPr>
          <w:rStyle w:val="Verwijzing"/>
        </w:rPr>
        <w:fldChar w:fldCharType="begin"/>
      </w:r>
      <w:r w:rsidRPr="005746FB">
        <w:rPr>
          <w:rStyle w:val="Verwijzing"/>
        </w:rPr>
        <w:instrText xml:space="preserve"> REF _Ref_6eab5308c4bddcd2fe476ee045495f13_2 \n \h </w:instrText>
      </w:r>
      <w:r w:rsidRPr="005746FB">
        <w:rPr>
          <w:rStyle w:val="Verwijzing"/>
        </w:rPr>
      </w:r>
      <w:r w:rsidRPr="005746FB">
        <w:rPr>
          <w:rStyle w:val="Verwijzing"/>
        </w:rPr>
        <w:fldChar w:fldCharType="separate"/>
      </w:r>
      <w:r w:rsidR="00C06EA5">
        <w:rPr>
          <w:rStyle w:val="Verwijzing"/>
        </w:rPr>
        <w:t>Tabel 4</w:t>
      </w:r>
      <w:r w:rsidRPr="005746FB">
        <w:rPr>
          <w:rStyle w:val="Verwijzing"/>
        </w:rPr>
        <w:fldChar w:fldCharType="end"/>
      </w:r>
      <w:r w:rsidRPr="00F62F31">
        <w:t xml:space="preserve"> biedt een overzicht van de belangrijkste regels en onderwerpen die </w:t>
      </w:r>
      <w:r>
        <w:fldChar w:fldCharType="begin"/>
      </w:r>
      <w:r>
        <w:instrText>DOCVARIABLE ID01+</w:instrText>
      </w:r>
      <w:r>
        <w:fldChar w:fldCharType="separate"/>
      </w:r>
      <w:r w:rsidR="00C06EA5">
        <w:t>de AMvB/MR</w:t>
      </w:r>
      <w:r>
        <w:fldChar w:fldCharType="end"/>
      </w:r>
      <w:r w:rsidRPr="00F62F31">
        <w:t xml:space="preserve"> op grond van de Omgevingswet moet, respectievelijk kan, bevatten.</w:t>
      </w:r>
    </w:p>
    <w:p w14:paraId="09F6BED2" w14:textId="711FEEB9" w:rsidR="004416D3" w:rsidRDefault="00DC26A8" w:rsidP="004416D3">
      <w:pPr>
        <w:pStyle w:val="Tabeltitel"/>
      </w:pPr>
      <w:bookmarkStart w:id="20" w:name="_Ref_6eab5308c4bddcd2fe476ee045495f13_2"/>
      <w:r>
        <w:t xml:space="preserve">Inhoudelijke kenmerken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C06EA5">
        <w:rPr>
          <w:noProof/>
        </w:rPr>
        <w:t>AMvB/MR</w:t>
      </w:r>
      <w:r w:rsidRPr="00F62F31">
        <w:fldChar w:fldCharType="end"/>
      </w:r>
      <w:bookmarkEnd w:id="20"/>
    </w:p>
    <w:tbl>
      <w:tblPr>
        <w:tblStyle w:val="Tabel"/>
        <w:tblW w:w="5000" w:type="pct"/>
        <w:tblLayout w:type="fixed"/>
        <w:tblLook w:val="0620" w:firstRow="1" w:lastRow="0" w:firstColumn="0" w:lastColumn="0" w:noHBand="1" w:noVBand="1"/>
      </w:tblPr>
      <w:tblGrid>
        <w:gridCol w:w="2202"/>
        <w:gridCol w:w="1593"/>
        <w:gridCol w:w="4699"/>
      </w:tblGrid>
      <w:tr w:rsidR="00874B43" w:rsidRPr="00C23F01" w14:paraId="1B4ACC3B" w14:textId="77777777" w:rsidTr="004416D3">
        <w:trPr>
          <w:cnfStyle w:val="100000000000" w:firstRow="1" w:lastRow="0" w:firstColumn="0" w:lastColumn="0" w:oddVBand="0" w:evenVBand="0" w:oddHBand="0" w:evenHBand="0" w:firstRowFirstColumn="0" w:firstRowLastColumn="0" w:lastRowFirstColumn="0" w:lastRowLastColumn="0"/>
        </w:trPr>
        <w:tc>
          <w:tcPr>
            <w:tcW w:w="1296" w:type="pct"/>
          </w:tcPr>
          <w:p w14:paraId="7DAE1CEA" w14:textId="77777777" w:rsidR="00874B43" w:rsidRPr="00EC7FF0" w:rsidRDefault="00874B43" w:rsidP="004416D3">
            <w:pPr>
              <w:rPr>
                <w:szCs w:val="18"/>
              </w:rPr>
            </w:pPr>
            <w:r w:rsidRPr="00A31D84">
              <w:rPr>
                <w:szCs w:val="18"/>
              </w:rPr>
              <w:t>Onderwerp</w:t>
            </w:r>
          </w:p>
        </w:tc>
        <w:tc>
          <w:tcPr>
            <w:tcW w:w="938" w:type="pct"/>
          </w:tcPr>
          <w:p w14:paraId="1B982E14" w14:textId="77777777" w:rsidR="00874B43" w:rsidRPr="00EC7FF0" w:rsidRDefault="00874B43" w:rsidP="004416D3">
            <w:pPr>
              <w:rPr>
                <w:szCs w:val="18"/>
                <w:lang w:val="en-US"/>
              </w:rPr>
            </w:pPr>
            <w:r w:rsidRPr="00A31D84">
              <w:rPr>
                <w:szCs w:val="18"/>
                <w:lang w:val="en-US"/>
              </w:rPr>
              <w:t>Bron</w:t>
            </w:r>
          </w:p>
        </w:tc>
        <w:tc>
          <w:tcPr>
            <w:tcW w:w="2766" w:type="pct"/>
          </w:tcPr>
          <w:p w14:paraId="382C6C7D" w14:textId="77777777" w:rsidR="00874B43" w:rsidRDefault="00874B43" w:rsidP="004416D3">
            <w:pPr>
              <w:rPr>
                <w:szCs w:val="18"/>
              </w:rPr>
            </w:pPr>
            <w:r w:rsidRPr="00A31D84">
              <w:rPr>
                <w:szCs w:val="18"/>
              </w:rPr>
              <w:t>Karakterisering/Toelichting</w:t>
            </w:r>
          </w:p>
        </w:tc>
      </w:tr>
      <w:tr w:rsidR="00874B43" w:rsidRPr="00C23F01" w14:paraId="236C8551" w14:textId="77777777" w:rsidTr="009A630F">
        <w:tc>
          <w:tcPr>
            <w:tcW w:w="1296" w:type="pct"/>
          </w:tcPr>
          <w:p w14:paraId="1F89BE97" w14:textId="49E5EA1C" w:rsidR="00874B43" w:rsidRPr="00EC7FF0" w:rsidRDefault="003B43B4" w:rsidP="004416D3">
            <w:pPr>
              <w:rPr>
                <w:szCs w:val="18"/>
              </w:rPr>
            </w:pPr>
            <w:r>
              <w:rPr>
                <w:szCs w:val="18"/>
              </w:rPr>
              <w:t>Norma</w:t>
            </w:r>
            <w:r w:rsidR="00874B43" w:rsidRPr="00EC7FF0">
              <w:rPr>
                <w:szCs w:val="18"/>
              </w:rPr>
              <w:t>dressaat</w:t>
            </w:r>
          </w:p>
        </w:tc>
        <w:tc>
          <w:tcPr>
            <w:tcW w:w="938" w:type="pct"/>
          </w:tcPr>
          <w:p w14:paraId="02616174" w14:textId="6294B5AB" w:rsidR="00874B43" w:rsidRPr="00EC7FF0" w:rsidRDefault="00874B43" w:rsidP="004416D3">
            <w:pPr>
              <w:rPr>
                <w:szCs w:val="18"/>
                <w:lang w:val="en-US"/>
              </w:rPr>
            </w:pPr>
            <w:r w:rsidRPr="00EC7FF0">
              <w:rPr>
                <w:szCs w:val="18"/>
                <w:lang w:val="en-US"/>
              </w:rPr>
              <w:t>Ob, Bkl, Bal, Bbl, MR</w:t>
            </w:r>
            <w:r w:rsidR="000E3E60">
              <w:rPr>
                <w:rStyle w:val="Voetnootmarkering"/>
                <w:szCs w:val="18"/>
                <w:lang w:val="en-US"/>
              </w:rPr>
              <w:footnoteReference w:id="3"/>
            </w:r>
          </w:p>
        </w:tc>
        <w:tc>
          <w:tcPr>
            <w:tcW w:w="2766" w:type="pct"/>
          </w:tcPr>
          <w:p w14:paraId="1A07419B" w14:textId="5E961E5A" w:rsidR="00874B43" w:rsidRPr="00C23F01" w:rsidRDefault="003B43B4" w:rsidP="004416D3">
            <w:pPr>
              <w:rPr>
                <w:szCs w:val="18"/>
              </w:rPr>
            </w:pPr>
            <w:r>
              <w:rPr>
                <w:szCs w:val="18"/>
              </w:rPr>
              <w:t xml:space="preserve">In veel </w:t>
            </w:r>
            <w:r w:rsidR="00992901">
              <w:rPr>
                <w:szCs w:val="18"/>
              </w:rPr>
              <w:t>onderdelen va</w:t>
            </w:r>
            <w:r>
              <w:rPr>
                <w:szCs w:val="18"/>
              </w:rPr>
              <w:t xml:space="preserve">n de AMvB’s en de Ministeriële regeling behorend bij de Omgevingswet wordt </w:t>
            </w:r>
            <w:r w:rsidR="00992901">
              <w:rPr>
                <w:szCs w:val="18"/>
              </w:rPr>
              <w:t xml:space="preserve">aangegeven wie </w:t>
            </w:r>
            <w:r>
              <w:rPr>
                <w:szCs w:val="18"/>
              </w:rPr>
              <w:t xml:space="preserve">de normadressaat van </w:t>
            </w:r>
            <w:r w:rsidR="00992901">
              <w:rPr>
                <w:szCs w:val="18"/>
              </w:rPr>
              <w:t>het betreffende onderdeel is</w:t>
            </w:r>
          </w:p>
        </w:tc>
      </w:tr>
      <w:tr w:rsidR="005D2FB8" w:rsidRPr="005D2FB8" w14:paraId="0D9D571D" w14:textId="77777777" w:rsidTr="009A630F">
        <w:tc>
          <w:tcPr>
            <w:tcW w:w="1296" w:type="pct"/>
          </w:tcPr>
          <w:p w14:paraId="29F77D8F" w14:textId="7DDD8E20" w:rsidR="005D2FB8" w:rsidRDefault="005D2FB8" w:rsidP="004416D3">
            <w:pPr>
              <w:rPr>
                <w:szCs w:val="18"/>
              </w:rPr>
            </w:pPr>
            <w:r w:rsidRPr="005D2FB8">
              <w:rPr>
                <w:szCs w:val="18"/>
              </w:rPr>
              <w:lastRenderedPageBreak/>
              <w:t>Typen regels</w:t>
            </w:r>
          </w:p>
        </w:tc>
        <w:tc>
          <w:tcPr>
            <w:tcW w:w="938" w:type="pct"/>
          </w:tcPr>
          <w:p w14:paraId="1698A614" w14:textId="1A926468" w:rsidR="005D2FB8" w:rsidRPr="00EC7FF0" w:rsidRDefault="005D2FB8" w:rsidP="004416D3">
            <w:pPr>
              <w:rPr>
                <w:szCs w:val="18"/>
                <w:lang w:val="en-US"/>
              </w:rPr>
            </w:pPr>
            <w:r w:rsidRPr="005D2FB8">
              <w:rPr>
                <w:szCs w:val="18"/>
                <w:lang w:val="en-US"/>
              </w:rPr>
              <w:t>Ob, Bkl, Bal, Bbl, MR</w:t>
            </w:r>
          </w:p>
        </w:tc>
        <w:tc>
          <w:tcPr>
            <w:tcW w:w="2766" w:type="pct"/>
          </w:tcPr>
          <w:p w14:paraId="55A6F00F" w14:textId="77777777" w:rsidR="005D2FB8" w:rsidRPr="005D2FB8" w:rsidRDefault="005D2FB8" w:rsidP="005D2FB8">
            <w:pPr>
              <w:rPr>
                <w:szCs w:val="18"/>
              </w:rPr>
            </w:pPr>
            <w:r w:rsidRPr="005D2FB8">
              <w:rPr>
                <w:szCs w:val="18"/>
              </w:rPr>
              <w:t>De AMvB’s en de Ministeriële regeling behorend bij de Omgevingswet stellen diverse verplichtingen in:</w:t>
            </w:r>
          </w:p>
          <w:p w14:paraId="00545CEC" w14:textId="77777777" w:rsidR="005D2FB8" w:rsidRPr="005D2FB8" w:rsidRDefault="005D2FB8" w:rsidP="005D2FB8">
            <w:pPr>
              <w:rPr>
                <w:szCs w:val="18"/>
              </w:rPr>
            </w:pPr>
            <w:r w:rsidRPr="005D2FB8">
              <w:rPr>
                <w:szCs w:val="18"/>
              </w:rPr>
              <w:t>•</w:t>
            </w:r>
            <w:r w:rsidRPr="005D2FB8">
              <w:rPr>
                <w:szCs w:val="18"/>
              </w:rPr>
              <w:tab/>
              <w:t>Meldingsplichten</w:t>
            </w:r>
          </w:p>
          <w:p w14:paraId="3F7D8BAC" w14:textId="27E31CBA" w:rsidR="005D2FB8" w:rsidRPr="005D2FB8" w:rsidRDefault="005D2FB8" w:rsidP="005D2FB8">
            <w:pPr>
              <w:pStyle w:val="Opsommingtekens1"/>
            </w:pPr>
            <w:r w:rsidRPr="005D2FB8">
              <w:t>Vergunningplichten</w:t>
            </w:r>
          </w:p>
          <w:p w14:paraId="4E641954" w14:textId="60E59228" w:rsidR="005D2FB8" w:rsidRPr="005D2FB8" w:rsidRDefault="005D2FB8" w:rsidP="005D2FB8">
            <w:pPr>
              <w:pStyle w:val="Opsommingtekens1"/>
            </w:pPr>
            <w:r w:rsidRPr="005D2FB8">
              <w:t>Zorgplichten</w:t>
            </w:r>
          </w:p>
          <w:p w14:paraId="712C9D8E" w14:textId="3FB35E27" w:rsidR="005D2FB8" w:rsidRPr="005D2FB8" w:rsidRDefault="005D2FB8" w:rsidP="005D2FB8">
            <w:pPr>
              <w:pStyle w:val="Opsommingtekens1"/>
            </w:pPr>
            <w:r w:rsidRPr="005D2FB8">
              <w:t>Informatieplichten</w:t>
            </w:r>
          </w:p>
          <w:p w14:paraId="7927F98C" w14:textId="49EEB15B" w:rsidR="005D2FB8" w:rsidRPr="005D2FB8" w:rsidRDefault="005D2FB8" w:rsidP="005D2FB8">
            <w:pPr>
              <w:pStyle w:val="Opsommingtekens1"/>
            </w:pPr>
            <w:r w:rsidRPr="005D2FB8">
              <w:t>Plichten omtrent het verstrekken van gegevens en bescheiden</w:t>
            </w:r>
          </w:p>
        </w:tc>
      </w:tr>
      <w:tr w:rsidR="00874B43" w:rsidRPr="00C23F01" w14:paraId="6B025286" w14:textId="77777777" w:rsidTr="009A630F">
        <w:tc>
          <w:tcPr>
            <w:tcW w:w="1296" w:type="pct"/>
          </w:tcPr>
          <w:p w14:paraId="365FB7AC" w14:textId="77777777" w:rsidR="00874B43" w:rsidRPr="00C23F01" w:rsidRDefault="00874B43" w:rsidP="004416D3">
            <w:pPr>
              <w:rPr>
                <w:szCs w:val="18"/>
              </w:rPr>
            </w:pPr>
            <w:r w:rsidRPr="00C23F01">
              <w:rPr>
                <w:szCs w:val="18"/>
              </w:rPr>
              <w:t>Activiteiten</w:t>
            </w:r>
          </w:p>
        </w:tc>
        <w:tc>
          <w:tcPr>
            <w:tcW w:w="938" w:type="pct"/>
          </w:tcPr>
          <w:p w14:paraId="11161841" w14:textId="77777777" w:rsidR="00874B43" w:rsidRPr="00C23F01" w:rsidRDefault="00874B43" w:rsidP="004416D3">
            <w:pPr>
              <w:rPr>
                <w:szCs w:val="18"/>
              </w:rPr>
            </w:pPr>
            <w:r>
              <w:rPr>
                <w:szCs w:val="18"/>
              </w:rPr>
              <w:t>Bkl</w:t>
            </w:r>
            <w:r w:rsidRPr="00C23F01">
              <w:rPr>
                <w:szCs w:val="18"/>
              </w:rPr>
              <w:t xml:space="preserve">, </w:t>
            </w:r>
            <w:r>
              <w:rPr>
                <w:szCs w:val="18"/>
              </w:rPr>
              <w:t>Bal</w:t>
            </w:r>
            <w:r w:rsidRPr="00C23F01">
              <w:rPr>
                <w:szCs w:val="18"/>
              </w:rPr>
              <w:t xml:space="preserve">, </w:t>
            </w:r>
            <w:r>
              <w:rPr>
                <w:szCs w:val="18"/>
              </w:rPr>
              <w:t>Bbl, MR</w:t>
            </w:r>
          </w:p>
        </w:tc>
        <w:tc>
          <w:tcPr>
            <w:tcW w:w="2766" w:type="pct"/>
          </w:tcPr>
          <w:p w14:paraId="17AD3621" w14:textId="0871D4C3" w:rsidR="00874B43" w:rsidRPr="00C23F01" w:rsidRDefault="00A13C07" w:rsidP="004416D3">
            <w:pPr>
              <w:rPr>
                <w:szCs w:val="18"/>
              </w:rPr>
            </w:pPr>
            <w:r w:rsidRPr="00A13C07">
              <w:rPr>
                <w:szCs w:val="18"/>
              </w:rPr>
              <w:t>De AMvB’s en de Ministeriële regeling behorend bij de Omgevingswet</w:t>
            </w:r>
            <w:r>
              <w:rPr>
                <w:szCs w:val="18"/>
              </w:rPr>
              <w:t xml:space="preserve"> kennen veel regels over activiteiten</w:t>
            </w:r>
          </w:p>
        </w:tc>
      </w:tr>
      <w:tr w:rsidR="00874B43" w:rsidRPr="00C23F01" w14:paraId="009DE528" w14:textId="77777777" w:rsidTr="004416D3">
        <w:tc>
          <w:tcPr>
            <w:tcW w:w="1296" w:type="pct"/>
          </w:tcPr>
          <w:p w14:paraId="5324C3E8" w14:textId="77777777" w:rsidR="00874B43" w:rsidRPr="00C23F01" w:rsidRDefault="00874B43" w:rsidP="004416D3">
            <w:pPr>
              <w:rPr>
                <w:szCs w:val="18"/>
              </w:rPr>
            </w:pPr>
            <w:r w:rsidRPr="00C23F01">
              <w:rPr>
                <w:szCs w:val="18"/>
              </w:rPr>
              <w:t>Oogmerken</w:t>
            </w:r>
          </w:p>
        </w:tc>
        <w:tc>
          <w:tcPr>
            <w:tcW w:w="938" w:type="pct"/>
          </w:tcPr>
          <w:p w14:paraId="447C8468" w14:textId="5F7C40B6" w:rsidR="00874B43" w:rsidRPr="00C23F01" w:rsidRDefault="00874B43" w:rsidP="004416D3">
            <w:pPr>
              <w:rPr>
                <w:szCs w:val="18"/>
              </w:rPr>
            </w:pPr>
            <w:r>
              <w:rPr>
                <w:szCs w:val="18"/>
              </w:rPr>
              <w:t>Bkl</w:t>
            </w:r>
            <w:r w:rsidRPr="00C23F01">
              <w:rPr>
                <w:szCs w:val="18"/>
              </w:rPr>
              <w:t xml:space="preserve">, </w:t>
            </w:r>
            <w:r>
              <w:rPr>
                <w:szCs w:val="18"/>
              </w:rPr>
              <w:t>Bal</w:t>
            </w:r>
            <w:r w:rsidRPr="00C23F01">
              <w:rPr>
                <w:szCs w:val="18"/>
              </w:rPr>
              <w:t xml:space="preserve">, </w:t>
            </w:r>
            <w:r>
              <w:rPr>
                <w:szCs w:val="18"/>
              </w:rPr>
              <w:t>Bbl</w:t>
            </w:r>
          </w:p>
        </w:tc>
        <w:tc>
          <w:tcPr>
            <w:tcW w:w="2766" w:type="pct"/>
          </w:tcPr>
          <w:p w14:paraId="5B41C6E8" w14:textId="5DEAD5A2" w:rsidR="00874B43" w:rsidRDefault="005C55EF" w:rsidP="004416D3">
            <w:pPr>
              <w:rPr>
                <w:szCs w:val="18"/>
              </w:rPr>
            </w:pPr>
            <w:r w:rsidRPr="005C55EF">
              <w:rPr>
                <w:szCs w:val="18"/>
              </w:rPr>
              <w:t xml:space="preserve">In veel onderdelen van de AMvB’s en de </w:t>
            </w:r>
            <w:r w:rsidR="003211E0" w:rsidRPr="005C55EF">
              <w:rPr>
                <w:szCs w:val="18"/>
              </w:rPr>
              <w:t>Ministeriële</w:t>
            </w:r>
            <w:r w:rsidRPr="005C55EF">
              <w:rPr>
                <w:szCs w:val="18"/>
              </w:rPr>
              <w:t xml:space="preserve"> regeling behorend bij de Omgevingswet wordt aangegeven </w:t>
            </w:r>
            <w:r>
              <w:rPr>
                <w:szCs w:val="18"/>
              </w:rPr>
              <w:t xml:space="preserve">wat het oogmerk </w:t>
            </w:r>
            <w:r w:rsidRPr="005C55EF">
              <w:rPr>
                <w:szCs w:val="18"/>
              </w:rPr>
              <w:t>van het betreffende onderdeel is</w:t>
            </w:r>
            <w:r>
              <w:rPr>
                <w:szCs w:val="18"/>
              </w:rPr>
              <w:t xml:space="preserve">. </w:t>
            </w:r>
            <w:r w:rsidR="00874B43" w:rsidRPr="00C23F01">
              <w:rPr>
                <w:szCs w:val="18"/>
              </w:rPr>
              <w:t xml:space="preserve">Het oogmerk duidt het (abstractere) doel waar een regel aan moet bijdragen. Voorbeelden van oogmerken zijn veiligheid, gezondheid </w:t>
            </w:r>
            <w:r w:rsidR="00874B43">
              <w:rPr>
                <w:szCs w:val="18"/>
              </w:rPr>
              <w:t>et cetera.</w:t>
            </w:r>
          </w:p>
          <w:p w14:paraId="0578A6A6" w14:textId="5A12190B" w:rsidR="00874B43" w:rsidRPr="00C23F01" w:rsidRDefault="00874B43" w:rsidP="004416D3">
            <w:pPr>
              <w:rPr>
                <w:szCs w:val="18"/>
              </w:rPr>
            </w:pPr>
            <w:r>
              <w:rPr>
                <w:szCs w:val="18"/>
              </w:rPr>
              <w:t xml:space="preserve">In IMOW kunnen oogmerken geannoteerd worden als "thema". Meer informatie over thema in de context van het IMOW wordt gegeven in paragraaf </w:t>
            </w:r>
            <w:r w:rsidRPr="005746FB">
              <w:rPr>
                <w:rStyle w:val="Verwijzing"/>
              </w:rPr>
              <w:fldChar w:fldCharType="begin"/>
            </w:r>
            <w:r w:rsidRPr="005746FB">
              <w:rPr>
                <w:rStyle w:val="Verwijzing"/>
              </w:rPr>
              <w:instrText xml:space="preserve"> REF _Ref_88e63ceb009bced83185ccb59a275a6f_1 </w:instrText>
            </w:r>
            <w:r w:rsidR="00E56DCE" w:rsidRPr="005746FB">
              <w:rPr>
                <w:rStyle w:val="Verwijzing"/>
              </w:rPr>
              <w:instrText>\n \h</w:instrText>
            </w:r>
            <w:r w:rsidRPr="005746FB">
              <w:rPr>
                <w:rStyle w:val="Verwijzing"/>
              </w:rPr>
              <w:instrText xml:space="preserve"> </w:instrText>
            </w:r>
            <w:r w:rsidRPr="005746FB">
              <w:rPr>
                <w:rStyle w:val="Verwijzing"/>
              </w:rPr>
            </w:r>
            <w:r w:rsidRPr="005746FB">
              <w:rPr>
                <w:rStyle w:val="Verwijzing"/>
              </w:rPr>
              <w:fldChar w:fldCharType="separate"/>
            </w:r>
            <w:r w:rsidR="00C06EA5">
              <w:rPr>
                <w:rStyle w:val="Verwijzing"/>
              </w:rPr>
              <w:t>7.3</w:t>
            </w:r>
            <w:r w:rsidRPr="005746FB">
              <w:rPr>
                <w:rStyle w:val="Verwijzing"/>
              </w:rPr>
              <w:fldChar w:fldCharType="end"/>
            </w:r>
            <w:r>
              <w:rPr>
                <w:szCs w:val="18"/>
              </w:rPr>
              <w:t xml:space="preserve">. </w:t>
            </w:r>
          </w:p>
        </w:tc>
      </w:tr>
      <w:tr w:rsidR="00874B43" w:rsidRPr="00C23F01" w14:paraId="4ADA4AC0" w14:textId="77777777" w:rsidTr="004416D3">
        <w:tc>
          <w:tcPr>
            <w:tcW w:w="1296" w:type="pct"/>
          </w:tcPr>
          <w:p w14:paraId="446CE182" w14:textId="77777777" w:rsidR="00874B43" w:rsidRPr="00C23F01" w:rsidRDefault="00874B43" w:rsidP="004416D3">
            <w:pPr>
              <w:rPr>
                <w:szCs w:val="18"/>
              </w:rPr>
            </w:pPr>
            <w:r w:rsidRPr="00C23F01">
              <w:rPr>
                <w:szCs w:val="18"/>
              </w:rPr>
              <w:t>Omgevingswaarden</w:t>
            </w:r>
          </w:p>
        </w:tc>
        <w:tc>
          <w:tcPr>
            <w:tcW w:w="938" w:type="pct"/>
          </w:tcPr>
          <w:p w14:paraId="201417FD" w14:textId="77777777" w:rsidR="00874B43" w:rsidRPr="00C23F01" w:rsidRDefault="00874B43" w:rsidP="004416D3">
            <w:pPr>
              <w:rPr>
                <w:szCs w:val="18"/>
              </w:rPr>
            </w:pPr>
            <w:r w:rsidRPr="00C23F01">
              <w:rPr>
                <w:szCs w:val="18"/>
              </w:rPr>
              <w:t>B</w:t>
            </w:r>
            <w:r>
              <w:rPr>
                <w:szCs w:val="18"/>
              </w:rPr>
              <w:t>kl</w:t>
            </w:r>
          </w:p>
        </w:tc>
        <w:tc>
          <w:tcPr>
            <w:tcW w:w="2766" w:type="pct"/>
          </w:tcPr>
          <w:p w14:paraId="3DE90918" w14:textId="77777777" w:rsidR="00874B43" w:rsidRPr="00C23F01" w:rsidRDefault="00874B43" w:rsidP="004416D3">
            <w:pPr>
              <w:rPr>
                <w:szCs w:val="18"/>
              </w:rPr>
            </w:pPr>
            <w:r w:rsidRPr="00C23F01">
              <w:rPr>
                <w:szCs w:val="18"/>
              </w:rPr>
              <w:t>De omgevingswaarden kunnen variëren; een omgevingswaarde kan een hoog detailniveau hebben (</w:t>
            </w:r>
            <w:r>
              <w:rPr>
                <w:szCs w:val="18"/>
              </w:rPr>
              <w:t>bijvoorbeeld</w:t>
            </w:r>
            <w:r w:rsidRPr="00C23F01">
              <w:rPr>
                <w:szCs w:val="18"/>
              </w:rPr>
              <w:t xml:space="preserve"> meetbare omgevingswaarde). Meerdere omgevingswaarden kunnen ook gegroepeerd zijn in een abstractere omgevingswaarde (</w:t>
            </w:r>
            <w:r>
              <w:rPr>
                <w:szCs w:val="18"/>
              </w:rPr>
              <w:t>bijvoorbeeld</w:t>
            </w:r>
            <w:r w:rsidRPr="00C23F01">
              <w:rPr>
                <w:szCs w:val="18"/>
              </w:rPr>
              <w:t xml:space="preserve"> kwaliteit buitenlucht).</w:t>
            </w:r>
          </w:p>
          <w:p w14:paraId="300EC2CC" w14:textId="77777777" w:rsidR="00874B43" w:rsidRPr="00C23F01" w:rsidRDefault="00874B43" w:rsidP="004416D3">
            <w:pPr>
              <w:rPr>
                <w:szCs w:val="18"/>
              </w:rPr>
            </w:pPr>
          </w:p>
          <w:p w14:paraId="4153E739" w14:textId="55CF9B0E" w:rsidR="00874B43" w:rsidRPr="00C23F01" w:rsidRDefault="00874B43" w:rsidP="004416D3">
            <w:pPr>
              <w:rPr>
                <w:szCs w:val="18"/>
              </w:rPr>
            </w:pPr>
            <w:r w:rsidRPr="00C23F01">
              <w:rPr>
                <w:szCs w:val="18"/>
              </w:rPr>
              <w:t xml:space="preserve">Omgevingswaarden kunnen </w:t>
            </w:r>
            <w:r>
              <w:rPr>
                <w:szCs w:val="18"/>
              </w:rPr>
              <w:t xml:space="preserve">betreffen </w:t>
            </w:r>
            <w:r w:rsidRPr="00C23F01">
              <w:rPr>
                <w:szCs w:val="18"/>
              </w:rPr>
              <w:t xml:space="preserve">geluid, waterkwaliteit, geur, externe veiligheid </w:t>
            </w:r>
            <w:r>
              <w:rPr>
                <w:szCs w:val="18"/>
              </w:rPr>
              <w:t>et cetera.</w:t>
            </w:r>
            <w:r w:rsidRPr="00C23F01">
              <w:rPr>
                <w:szCs w:val="18"/>
              </w:rPr>
              <w:t>, en kunnen ook een kwalitatieve aanduiding hebben.</w:t>
            </w:r>
            <w:r>
              <w:rPr>
                <w:szCs w:val="18"/>
              </w:rPr>
              <w:t xml:space="preserve"> </w:t>
            </w:r>
            <w:r w:rsidRPr="00E31A55">
              <w:rPr>
                <w:szCs w:val="18"/>
              </w:rPr>
              <w:t xml:space="preserve">Zie voor het annoteren met het </w:t>
            </w:r>
            <w:r w:rsidR="009447ED">
              <w:rPr>
                <w:szCs w:val="18"/>
              </w:rPr>
              <w:t>OW-object</w:t>
            </w:r>
            <w:r w:rsidRPr="00E31A55">
              <w:rPr>
                <w:szCs w:val="18"/>
              </w:rPr>
              <w:t xml:space="preserve"> </w:t>
            </w:r>
            <w:r>
              <w:rPr>
                <w:szCs w:val="18"/>
              </w:rPr>
              <w:t xml:space="preserve">Omgevingswaarde </w:t>
            </w:r>
            <w:r w:rsidRPr="00E31A55">
              <w:rPr>
                <w:szCs w:val="18"/>
              </w:rPr>
              <w:t xml:space="preserve">paragraaf </w:t>
            </w:r>
            <w:r w:rsidRPr="005746FB">
              <w:rPr>
                <w:rStyle w:val="Verwijzing"/>
              </w:rPr>
              <w:fldChar w:fldCharType="begin"/>
            </w:r>
            <w:r w:rsidRPr="005746FB">
              <w:rPr>
                <w:rStyle w:val="Verwijzing"/>
              </w:rPr>
              <w:instrText xml:space="preserve"> REF _Ref_43bf2c0ce05841f7ffb085968129d87f_1 </w:instrText>
            </w:r>
            <w:r w:rsidR="00E56DCE" w:rsidRPr="005746FB">
              <w:rPr>
                <w:rStyle w:val="Verwijzing"/>
              </w:rPr>
              <w:instrText>\n \h</w:instrText>
            </w:r>
            <w:r w:rsidRPr="005746FB">
              <w:rPr>
                <w:rStyle w:val="Verwijzing"/>
              </w:rPr>
              <w:instrText xml:space="preserve"> </w:instrText>
            </w:r>
            <w:r w:rsidRPr="005746FB">
              <w:rPr>
                <w:rStyle w:val="Verwijzing"/>
              </w:rPr>
            </w:r>
            <w:r w:rsidRPr="005746FB">
              <w:rPr>
                <w:rStyle w:val="Verwijzing"/>
              </w:rPr>
              <w:fldChar w:fldCharType="separate"/>
            </w:r>
            <w:r w:rsidR="00C06EA5">
              <w:rPr>
                <w:rStyle w:val="Verwijzing"/>
              </w:rPr>
              <w:t>7.7</w:t>
            </w:r>
            <w:r w:rsidRPr="005746FB">
              <w:rPr>
                <w:rStyle w:val="Verwijzing"/>
              </w:rPr>
              <w:fldChar w:fldCharType="end"/>
            </w:r>
          </w:p>
        </w:tc>
      </w:tr>
      <w:tr w:rsidR="00874B43" w:rsidRPr="00C23F01" w14:paraId="7F79AF99" w14:textId="77777777" w:rsidTr="004416D3">
        <w:tc>
          <w:tcPr>
            <w:tcW w:w="1296" w:type="pct"/>
          </w:tcPr>
          <w:p w14:paraId="337287CF" w14:textId="77777777" w:rsidR="00874B43" w:rsidRPr="004E00F6" w:rsidRDefault="00874B43" w:rsidP="004416D3">
            <w:pPr>
              <w:rPr>
                <w:szCs w:val="18"/>
              </w:rPr>
            </w:pPr>
            <w:r w:rsidRPr="00C23F01">
              <w:rPr>
                <w:szCs w:val="18"/>
              </w:rPr>
              <w:t xml:space="preserve">Omgevingsnorm </w:t>
            </w:r>
          </w:p>
        </w:tc>
        <w:tc>
          <w:tcPr>
            <w:tcW w:w="938" w:type="pct"/>
          </w:tcPr>
          <w:p w14:paraId="4BD0E4CB" w14:textId="77777777" w:rsidR="00874B43" w:rsidRPr="004E00F6" w:rsidRDefault="00874B43" w:rsidP="004416D3">
            <w:pPr>
              <w:rPr>
                <w:szCs w:val="18"/>
              </w:rPr>
            </w:pPr>
            <w:r w:rsidRPr="004E00F6">
              <w:rPr>
                <w:szCs w:val="18"/>
              </w:rPr>
              <w:t>Bal, Bbl, Bkl, MR</w:t>
            </w:r>
          </w:p>
        </w:tc>
        <w:tc>
          <w:tcPr>
            <w:tcW w:w="2766" w:type="pct"/>
          </w:tcPr>
          <w:p w14:paraId="6320ACFE" w14:textId="1BC09348" w:rsidR="00024DDB" w:rsidRDefault="00874B43" w:rsidP="004416D3">
            <w:pPr>
              <w:rPr>
                <w:szCs w:val="18"/>
              </w:rPr>
            </w:pPr>
            <w:r w:rsidRPr="004E00F6">
              <w:rPr>
                <w:szCs w:val="18"/>
              </w:rPr>
              <w:t xml:space="preserve">De in een waarde </w:t>
            </w:r>
            <w:r w:rsidRPr="00C23F01">
              <w:rPr>
                <w:szCs w:val="18"/>
              </w:rPr>
              <w:t>uit te drukken geldende normen, niet zijnde omgevingswaarden. Nb. Betreft enkel een annotatie; heeft geen juridische betekenis.</w:t>
            </w:r>
          </w:p>
          <w:p w14:paraId="41DABC61" w14:textId="72CBC953" w:rsidR="00874B43" w:rsidRPr="00C23F01" w:rsidRDefault="00874B43" w:rsidP="004416D3">
            <w:pPr>
              <w:rPr>
                <w:szCs w:val="18"/>
              </w:rPr>
            </w:pPr>
            <w:r w:rsidRPr="00E31A55">
              <w:rPr>
                <w:szCs w:val="18"/>
              </w:rPr>
              <w:t xml:space="preserve">Zie voor het annoteren met het </w:t>
            </w:r>
            <w:r w:rsidR="009447ED">
              <w:rPr>
                <w:szCs w:val="18"/>
              </w:rPr>
              <w:t>OW-object</w:t>
            </w:r>
            <w:r w:rsidRPr="00E31A55">
              <w:rPr>
                <w:szCs w:val="18"/>
              </w:rPr>
              <w:t xml:space="preserve"> </w:t>
            </w:r>
            <w:r>
              <w:rPr>
                <w:szCs w:val="18"/>
              </w:rPr>
              <w:t xml:space="preserve">Omgevingsnorm </w:t>
            </w:r>
            <w:r w:rsidRPr="00E31A55">
              <w:rPr>
                <w:szCs w:val="18"/>
              </w:rPr>
              <w:t xml:space="preserve">paragraaf </w:t>
            </w:r>
            <w:r w:rsidRPr="005746FB">
              <w:rPr>
                <w:rStyle w:val="Verwijzing"/>
              </w:rPr>
              <w:fldChar w:fldCharType="begin"/>
            </w:r>
            <w:r w:rsidRPr="005746FB">
              <w:rPr>
                <w:rStyle w:val="Verwijzing"/>
              </w:rPr>
              <w:instrText xml:space="preserve"> REF _Ref_e35c375eb3c7373719bace4643a72c74_1 </w:instrText>
            </w:r>
            <w:r w:rsidR="00E56DCE" w:rsidRPr="005746FB">
              <w:rPr>
                <w:rStyle w:val="Verwijzing"/>
              </w:rPr>
              <w:instrText>\n \h</w:instrText>
            </w:r>
            <w:r w:rsidRPr="005746FB">
              <w:rPr>
                <w:rStyle w:val="Verwijzing"/>
              </w:rPr>
              <w:instrText xml:space="preserve"> </w:instrText>
            </w:r>
            <w:r w:rsidRPr="005746FB">
              <w:rPr>
                <w:rStyle w:val="Verwijzing"/>
              </w:rPr>
            </w:r>
            <w:r w:rsidRPr="005746FB">
              <w:rPr>
                <w:rStyle w:val="Verwijzing"/>
              </w:rPr>
              <w:fldChar w:fldCharType="separate"/>
            </w:r>
            <w:r w:rsidR="00C06EA5">
              <w:rPr>
                <w:rStyle w:val="Verwijzing"/>
              </w:rPr>
              <w:t>7.8</w:t>
            </w:r>
            <w:r w:rsidRPr="005746FB">
              <w:rPr>
                <w:rStyle w:val="Verwijzing"/>
              </w:rPr>
              <w:fldChar w:fldCharType="end"/>
            </w:r>
          </w:p>
        </w:tc>
      </w:tr>
      <w:tr w:rsidR="00874B43" w:rsidRPr="00C23F01" w14:paraId="49D7C9DA" w14:textId="77777777" w:rsidTr="004416D3">
        <w:tc>
          <w:tcPr>
            <w:tcW w:w="1296" w:type="pct"/>
          </w:tcPr>
          <w:p w14:paraId="7A528307" w14:textId="77777777" w:rsidR="00874B43" w:rsidRPr="00C23F01" w:rsidRDefault="00874B43" w:rsidP="004416D3">
            <w:pPr>
              <w:rPr>
                <w:i/>
                <w:szCs w:val="18"/>
              </w:rPr>
            </w:pPr>
            <w:r>
              <w:rPr>
                <w:szCs w:val="18"/>
              </w:rPr>
              <w:lastRenderedPageBreak/>
              <w:t>Gebiedsaanwijzingen</w:t>
            </w:r>
          </w:p>
        </w:tc>
        <w:tc>
          <w:tcPr>
            <w:tcW w:w="938" w:type="pct"/>
          </w:tcPr>
          <w:p w14:paraId="4A79ACE3" w14:textId="080EE22E" w:rsidR="00874B43" w:rsidRPr="00C23F01" w:rsidRDefault="00874B43" w:rsidP="004416D3">
            <w:pPr>
              <w:rPr>
                <w:szCs w:val="18"/>
              </w:rPr>
            </w:pPr>
            <w:r w:rsidRPr="00C23F01">
              <w:rPr>
                <w:szCs w:val="18"/>
              </w:rPr>
              <w:t>B</w:t>
            </w:r>
            <w:r w:rsidR="000D2553">
              <w:rPr>
                <w:szCs w:val="18"/>
              </w:rPr>
              <w:t>al</w:t>
            </w:r>
            <w:r w:rsidRPr="00C23F01">
              <w:rPr>
                <w:szCs w:val="18"/>
              </w:rPr>
              <w:t>, B</w:t>
            </w:r>
            <w:r w:rsidR="000D2553">
              <w:rPr>
                <w:szCs w:val="18"/>
              </w:rPr>
              <w:t>kl</w:t>
            </w:r>
            <w:r w:rsidRPr="00C23F01">
              <w:rPr>
                <w:szCs w:val="18"/>
              </w:rPr>
              <w:t>, MR</w:t>
            </w:r>
          </w:p>
        </w:tc>
        <w:tc>
          <w:tcPr>
            <w:tcW w:w="2766" w:type="pct"/>
          </w:tcPr>
          <w:p w14:paraId="38EA585B" w14:textId="77777777" w:rsidR="00874B43" w:rsidRDefault="00874B43" w:rsidP="004416D3">
            <w:pPr>
              <w:rPr>
                <w:szCs w:val="18"/>
              </w:rPr>
            </w:pPr>
            <w:r w:rsidRPr="005F381B">
              <w:rPr>
                <w:szCs w:val="18"/>
              </w:rPr>
              <w:t xml:space="preserve">Wetten en </w:t>
            </w:r>
            <w:r>
              <w:rPr>
                <w:szCs w:val="18"/>
              </w:rPr>
              <w:t>AM</w:t>
            </w:r>
            <w:r w:rsidRPr="005F381B">
              <w:rPr>
                <w:szCs w:val="18"/>
              </w:rPr>
              <w:t>v</w:t>
            </w:r>
            <w:r>
              <w:rPr>
                <w:szCs w:val="18"/>
              </w:rPr>
              <w:t>B’</w:t>
            </w:r>
            <w:r w:rsidRPr="005F381B">
              <w:rPr>
                <w:szCs w:val="18"/>
              </w:rPr>
              <w:t>s benoemen en/of wijzen gebieden aan, die</w:t>
            </w:r>
            <w:r>
              <w:rPr>
                <w:szCs w:val="18"/>
              </w:rPr>
              <w:t xml:space="preserve"> in de MR worden aangewezen en/</w:t>
            </w:r>
            <w:r w:rsidRPr="005F381B">
              <w:rPr>
                <w:szCs w:val="18"/>
              </w:rPr>
              <w:t>of begrensd.</w:t>
            </w:r>
            <w:r>
              <w:rPr>
                <w:szCs w:val="18"/>
              </w:rPr>
              <w:t xml:space="preserve"> Typen van gebieden hebben betrekking tot thematische zaken (bijv. water en watersystemen, landschap, externe veiligheid) of een typering dat een gebied een beperkingengebied is. Typen gebieden worden ook verder (gedetailleerder) verfijnd.</w:t>
            </w:r>
          </w:p>
          <w:p w14:paraId="114C7760" w14:textId="77777777" w:rsidR="00874B43" w:rsidRDefault="00874B43" w:rsidP="004416D3">
            <w:pPr>
              <w:rPr>
                <w:szCs w:val="18"/>
              </w:rPr>
            </w:pPr>
          </w:p>
          <w:p w14:paraId="3D8C48F6" w14:textId="47358C2E" w:rsidR="00874B43" w:rsidRPr="00C23F01" w:rsidRDefault="00874B43" w:rsidP="004416D3">
            <w:pPr>
              <w:rPr>
                <w:szCs w:val="18"/>
              </w:rPr>
            </w:pPr>
            <w:r>
              <w:rPr>
                <w:szCs w:val="18"/>
              </w:rPr>
              <w:t>Meer informatie over de gebiedsaanwijzing in de context van het IMOW wordt gegeven in paragra</w:t>
            </w:r>
            <w:r w:rsidR="00450ED0">
              <w:rPr>
                <w:szCs w:val="18"/>
              </w:rPr>
              <w:t>a</w:t>
            </w:r>
            <w:r>
              <w:rPr>
                <w:szCs w:val="18"/>
              </w:rPr>
              <w:t xml:space="preserve">f </w:t>
            </w:r>
            <w:r w:rsidRPr="005746FB">
              <w:rPr>
                <w:rStyle w:val="Verwijzing"/>
              </w:rPr>
              <w:fldChar w:fldCharType="begin"/>
            </w:r>
            <w:r w:rsidRPr="005746FB">
              <w:rPr>
                <w:rStyle w:val="Verwijzing"/>
              </w:rPr>
              <w:instrText xml:space="preserve"> REF _Ref_1f1400dc622a70fb2c884625f8f140fa_1 \n \h </w:instrText>
            </w:r>
            <w:r w:rsidRPr="005746FB">
              <w:rPr>
                <w:rStyle w:val="Verwijzing"/>
              </w:rPr>
            </w:r>
            <w:r w:rsidRPr="005746FB">
              <w:rPr>
                <w:rStyle w:val="Verwijzing"/>
              </w:rPr>
              <w:fldChar w:fldCharType="separate"/>
            </w:r>
            <w:r w:rsidR="00C06EA5">
              <w:rPr>
                <w:rStyle w:val="Verwijzing"/>
              </w:rPr>
              <w:t>7.9</w:t>
            </w:r>
            <w:r w:rsidRPr="005746FB">
              <w:rPr>
                <w:rStyle w:val="Verwijzing"/>
              </w:rPr>
              <w:fldChar w:fldCharType="end"/>
            </w:r>
            <w:r w:rsidR="00450ED0">
              <w:rPr>
                <w:rStyle w:val="Verwijzing"/>
              </w:rPr>
              <w:t>.</w:t>
            </w:r>
          </w:p>
        </w:tc>
      </w:tr>
      <w:tr w:rsidR="00874B43" w:rsidRPr="00C23F01" w14:paraId="61F8624A" w14:textId="77777777" w:rsidTr="004416D3">
        <w:tc>
          <w:tcPr>
            <w:tcW w:w="1296" w:type="pct"/>
          </w:tcPr>
          <w:p w14:paraId="76678AC8" w14:textId="77777777" w:rsidR="00874B43" w:rsidRPr="00C23F01" w:rsidRDefault="00874B43" w:rsidP="004416D3">
            <w:pPr>
              <w:rPr>
                <w:szCs w:val="18"/>
              </w:rPr>
            </w:pPr>
            <w:r>
              <w:rPr>
                <w:szCs w:val="18"/>
              </w:rPr>
              <w:t>G</w:t>
            </w:r>
            <w:r w:rsidRPr="00C23F01">
              <w:rPr>
                <w:szCs w:val="18"/>
              </w:rPr>
              <w:t>eometrisch begrenzen van locaties</w:t>
            </w:r>
          </w:p>
        </w:tc>
        <w:tc>
          <w:tcPr>
            <w:tcW w:w="938" w:type="pct"/>
          </w:tcPr>
          <w:p w14:paraId="7D440BA5" w14:textId="3E07B1F6" w:rsidR="00874B43" w:rsidRPr="00C23F01" w:rsidRDefault="00874B43" w:rsidP="004416D3">
            <w:pPr>
              <w:rPr>
                <w:szCs w:val="18"/>
              </w:rPr>
            </w:pPr>
            <w:r w:rsidRPr="00C23F01">
              <w:rPr>
                <w:szCs w:val="18"/>
              </w:rPr>
              <w:t>Ob, B</w:t>
            </w:r>
            <w:r w:rsidR="000D2553">
              <w:rPr>
                <w:szCs w:val="18"/>
              </w:rPr>
              <w:t>kl</w:t>
            </w:r>
            <w:r w:rsidRPr="00C23F01">
              <w:rPr>
                <w:szCs w:val="18"/>
              </w:rPr>
              <w:t>, MR</w:t>
            </w:r>
          </w:p>
        </w:tc>
        <w:tc>
          <w:tcPr>
            <w:tcW w:w="2766" w:type="pct"/>
          </w:tcPr>
          <w:p w14:paraId="5350E89B" w14:textId="3C7B02A7" w:rsidR="00874B43" w:rsidRPr="00C23F01" w:rsidRDefault="00874B43" w:rsidP="004416D3">
            <w:pPr>
              <w:rPr>
                <w:szCs w:val="18"/>
              </w:rPr>
            </w:pPr>
            <w:r w:rsidRPr="00C23F01">
              <w:rPr>
                <w:szCs w:val="18"/>
              </w:rPr>
              <w:t>In de AMvB</w:t>
            </w:r>
            <w:r>
              <w:rPr>
                <w:szCs w:val="18"/>
              </w:rPr>
              <w:t>’</w:t>
            </w:r>
            <w:r w:rsidRPr="00C23F01">
              <w:rPr>
                <w:szCs w:val="18"/>
              </w:rPr>
              <w:t>s worden er gebieden genoemd</w:t>
            </w:r>
            <w:r>
              <w:rPr>
                <w:szCs w:val="18"/>
              </w:rPr>
              <w:t xml:space="preserve"> en/of aangewezen</w:t>
            </w:r>
            <w:r w:rsidRPr="00C23F01">
              <w:rPr>
                <w:szCs w:val="18"/>
              </w:rPr>
              <w:t xml:space="preserve">. Het merendeel van deze gebieden wordt vervolgens aangewezen en </w:t>
            </w:r>
            <w:r w:rsidR="00A57017">
              <w:rPr>
                <w:szCs w:val="18"/>
              </w:rPr>
              <w:t xml:space="preserve">geometrisch </w:t>
            </w:r>
            <w:r w:rsidRPr="00C23F01">
              <w:rPr>
                <w:szCs w:val="18"/>
              </w:rPr>
              <w:t>begrensd in de MR.</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