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9D5700" w:rsidRPr="007B60F8" w:rsidRDefault="0092796F" w:rsidP="009D5700">
      <w:pPr>
        <w:pStyle w:val="Kop3"/>
      </w:pPr>
      <w:r w:rsidRPr="007B60F8">
        <w:t>Metadata</w:t>
      </w:r>
    </w:p>
    <w:p w14:paraId="456E04FA" w14:textId="0467CFD9" w:rsidR="009D5700" w:rsidRPr="007B60F8" w:rsidRDefault="0092796F" w:rsidP="009D5700">
      <w:r w:rsidRPr="007B60F8"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