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EB1E3" w14:textId="77777777" w:rsidR="009D5700" w:rsidRPr="00F03DD9" w:rsidRDefault="0092796F" w:rsidP="009D5700">
      <w:pPr>
        <w:pStyle w:val="Kop3"/>
      </w:pPr>
      <w:bookmarkStart w:id="57" w:name="_Ref_3f32eab4a444e324be1368c0c7e321eb_1"/>
      <w:r w:rsidRPr="00F03DD9">
        <w:t xml:space="preserve">De vormgeving van </w:t>
      </w:r>
      <w:r w:rsidRPr="006B5FB5">
        <w:t xml:space="preserve">Besluit en Regeling </w:t>
      </w:r>
      <w:r w:rsidRPr="00F03DD9">
        <w:t>bij AMvB en MR</w:t>
      </w:r>
      <w:bookmarkEnd w:id="57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