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9D5700" w:rsidRPr="00F03DD9" w:rsidRDefault="0092796F" w:rsidP="009D5700">
      <w:pPr>
        <w:pStyle w:val="Kop4"/>
      </w:pPr>
      <w:bookmarkStart w:id="289" w:name="_Ref_cc5e0d4d3941f9f18ca367cb96c3acf5_1"/>
      <w:r w:rsidRPr="00F03DD9">
        <w:t>Toelichting op de norm</w:t>
      </w:r>
      <w:bookmarkEnd w:id="289"/>
    </w:p>
    <w:p w14:paraId="399F58AE" w14:textId="30DBA338" w:rsidR="009D5700" w:rsidRPr="007B60F8" w:rsidRDefault="0092796F" w:rsidP="009D5700">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23C894B3" w:rsidR="009D5700" w:rsidRPr="00F03DD9" w:rsidRDefault="0092796F" w:rsidP="009D5700">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w:t>
      </w:r>
      <w:r w:rsidRPr="00F03DD9">
        <w:lastRenderedPageBreak/>
        <w:t xml:space="preserve">groep die bij </w:t>
      </w:r>
      <w:r>
        <w:t xml:space="preserve">die </w:t>
      </w:r>
      <w:r w:rsidRPr="00F03DD9">
        <w:t>object</w:t>
      </w:r>
      <w:r>
        <w:t>en</w:t>
      </w:r>
      <w:r w:rsidRPr="00F03DD9">
        <w:t xml:space="preserve"> </w:t>
      </w:r>
      <w:r>
        <w:t>hoort</w:t>
      </w:r>
      <w:r w:rsidRPr="00F03DD9">
        <w:t xml:space="preserve">. </w:t>
      </w:r>
      <w:r w:rsidRPr="00F03DD9" w:rsidDel="003078A4">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