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9D5700" w:rsidRPr="007F28B9" w:rsidRDefault="0092796F" w:rsidP="009D5700">
      <w:pPr>
        <w:pStyle w:val="Kop4"/>
      </w:pPr>
      <w:bookmarkStart w:id="309" w:name="_Ref_ae71734c66be33c3938b152ad80bc2fb_1"/>
      <w:r w:rsidRPr="007F28B9">
        <w:t>Toelichting op de toepassing</w:t>
      </w:r>
      <w:bookmarkEnd w:id="309"/>
    </w:p>
    <w:p w14:paraId="14369D35" w14:textId="5CE22DD3" w:rsidR="009D5700" w:rsidRPr="007F28B9" w:rsidRDefault="0092796F" w:rsidP="009D5700">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E02550A" w14:textId="18B10864" w:rsidR="009D5700" w:rsidRDefault="0092796F" w:rsidP="009D5700">
      <w:r w:rsidRPr="007F28B9">
        <w:t xml:space="preserve">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en programma zal </w:t>
      </w:r>
      <w:r>
        <w:t xml:space="preserve">c.q. kan </w:t>
      </w:r>
      <w:r w:rsidRPr="007F28B9">
        <w:t>dat anders zijn. Voor omgevingsplan en waterschapsverordening zal het Regelingsgebied samen met de bruidsschat door het Rijk worden aangeleverd en hoeven gemeente</w:t>
      </w:r>
      <w:r>
        <w:t>n</w:t>
      </w:r>
      <w:r w:rsidRPr="007F28B9">
        <w:t xml:space="preserve"> </w:t>
      </w:r>
      <w:r>
        <w:t>en</w:t>
      </w:r>
      <w:r w:rsidRPr="007F28B9">
        <w:t xml:space="preserve"> waterschap</w:t>
      </w:r>
      <w:r>
        <w:t>pen</w:t>
      </w:r>
      <w:r w:rsidRPr="007F28B9">
        <w:t xml:space="preserve"> dat niet zelf te doen.</w:t>
      </w:r>
    </w:p>
    <w:p w14:paraId="3929C623" w14:textId="72DEF3D8" w:rsidR="009D5700" w:rsidRPr="007F28B9" w:rsidRDefault="0092796F" w:rsidP="009D5700">
      <w:r>
        <w:t>Regelingsgebied</w:t>
      </w:r>
      <w:r w:rsidRPr="007D591F">
        <w:t xml:space="preserve"> is een objecttype dat hoort bij de Regeling</w:t>
      </w:r>
      <w:r>
        <w:t>.</w:t>
      </w:r>
      <w:r w:rsidRPr="007D591F">
        <w:t xml:space="preserve"> </w:t>
      </w:r>
      <w:r>
        <w:t xml:space="preserve">Het </w:t>
      </w:r>
      <w:r w:rsidRPr="007D591F">
        <w:t xml:space="preserve">wordt </w:t>
      </w:r>
      <w:r>
        <w:t xml:space="preserve">niet </w:t>
      </w:r>
      <w:r w:rsidRPr="007D591F">
        <w:t>gekoppeld aan een Juridische regel</w:t>
      </w:r>
      <w:r>
        <w:t xml:space="preserve"> of Tekstdeel</w:t>
      </w:r>
      <w:r w:rsidRPr="007D591F">
        <w:t>. Het is dus niet nodig (en ook niet de bedoeling) om in het omgevings</w:t>
      </w:r>
      <w:r>
        <w:t>document</w:t>
      </w:r>
      <w:r w:rsidRPr="007D591F">
        <w:t xml:space="preserve"> een artikel </w:t>
      </w:r>
      <w:r>
        <w:t xml:space="preserve">of stuk tekst </w:t>
      </w:r>
      <w:r w:rsidRPr="007D591F">
        <w:t xml:space="preserve">op te nemen dat een </w:t>
      </w:r>
      <w:r>
        <w:t>Regelingsgebied</w:t>
      </w:r>
      <w:r w:rsidRPr="007D591F">
        <w:t xml:space="preserve"> instelt of beschrijft.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