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9848" w14:textId="059FA315" w:rsidR="009D5700" w:rsidRPr="00F03DD9" w:rsidRDefault="0092796F">
      <w:pPr>
        <w:pStyle w:val="Kop3"/>
      </w:pPr>
      <w:r w:rsidRPr="00D9611B">
        <w:lastRenderedPageBreak/>
        <w:t>Onderdelen van de standaard die voor omgevingsdocumenten met Artikelstructuur verplicht of noodzakelijk zijn</w:t>
      </w:r>
    </w:p>
    <w:p w14:paraId="4C1C000A" w14:textId="02FE715C" w:rsidR="009D5700" w:rsidRDefault="0092796F" w:rsidP="009D5700">
      <w:r w:rsidRPr="00547AD5">
        <w:t xml:space="preserve">Een besluit </w:t>
      </w:r>
      <w:r>
        <w:t>kan</w:t>
      </w:r>
      <w:r w:rsidRPr="00547AD5">
        <w:t xml:space="preserve"> </w:t>
      </w:r>
      <w:r>
        <w:t>pas</w:t>
      </w:r>
      <w:r w:rsidRPr="00547AD5">
        <w:t xml:space="preserve"> in werking </w:t>
      </w:r>
      <w:r>
        <w:t xml:space="preserve">treden als </w:t>
      </w:r>
      <w:r w:rsidRPr="00547AD5">
        <w:t>het is bekendgemaakt</w:t>
      </w:r>
      <w:r>
        <w:t>, aldus artikel 3:40 Awb. De Bekendmakingswet stelt algemene regels over de bekendmaking. Voor omgevingsdocumenten</w:t>
      </w:r>
      <w:r>
        <w:rPr>
          <w:rStyle w:val="Voetnootmarkering"/>
        </w:rPr>
        <w:footnoteReference w:id="9"/>
      </w:r>
      <w:r w:rsidRPr="00B5216A">
        <w:t xml:space="preserve"> </w:t>
      </w:r>
      <w:r>
        <w:t>gelden specifieke regels</w:t>
      </w:r>
      <w:r>
        <w:rPr>
          <w:rStyle w:val="Voetnootmarkering"/>
        </w:rPr>
        <w:footnoteReference w:id="10"/>
      </w:r>
      <w:r>
        <w:t xml:space="preserve">. Omgevingsdocumenten, en ontwerpen daarvan, moeten door het betrokken bestuursorgaan </w:t>
      </w:r>
      <w:r w:rsidRPr="00B5216A">
        <w:t xml:space="preserve">elektronisch </w:t>
      </w:r>
      <w:r>
        <w:t xml:space="preserve">worden vormgegeven overeenkomstig STOP, IMOW en het betreffende </w:t>
      </w:r>
      <w:r w:rsidRPr="00B5216A">
        <w:t>toepassingsprofiel</w:t>
      </w:r>
      <w:r>
        <w:t xml:space="preserve"> en moeten voor publicatie worden aangeleverd aan het bronhouderskoppelvlak van de LVBB. Daarnaast is in de Omgevingswet bepaald dat omgevingsdocumenten worden ontsloten via DSO-LV.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