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07BE716A"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D33EA9">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30DFC120" w:rsidR="00E33EDD" w:rsidRPr="00B26823" w:rsidRDefault="00E33EDD" w:rsidP="00E33EDD">
      <w:r w:rsidRPr="00B26823">
        <w:lastRenderedPageBreak/>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D33EA9">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