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00D94431" w:rsidR="00E33EDD" w:rsidRPr="00B26823" w:rsidRDefault="00E33EDD" w:rsidP="00E33EDD">
      <w:pPr>
        <w:pStyle w:val="Kop3"/>
      </w:pPr>
      <w:bookmarkStart w:id="53" w:name="_Ref_5b638cdafeaaff6e19732f292a10497e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2D10A5">
        <w:t>basistekst</w:t>
      </w:r>
      <w:r w:rsidRPr="00A22075">
        <w:fldChar w:fldCharType="end"/>
      </w:r>
      <w:bookmarkEnd w:id="53"/>
    </w:p>
    <w:p w14:paraId="15C66DA9" w14:textId="5AF8110D"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_Ref_5b638cdafeaaff6e19732f292a10497e_2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_Ref_5b638cdafeaaff6e19732f292a10497e_3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54" w:name="_Ref_5b638cdafeaaff6e19732f292a10497e_2"/>
      <w:r w:rsidRPr="00A22075">
        <w:lastRenderedPageBreak/>
        <w:t>Juridische kenmerken</w:t>
      </w:r>
      <w:bookmarkEnd w:id="54"/>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55" w:name="_Ref_5b638cdafeaaff6e19732f292a10497e_3"/>
      <w:r w:rsidRPr="00A22075">
        <w:lastRenderedPageBreak/>
        <w:t>Vergelijking met huidige rechtsfiguren en RO Standaarden</w:t>
      </w:r>
      <w:bookmarkEnd w:id="55"/>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