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B4E6" w14:textId="262A13A3" w:rsidR="00895AFB" w:rsidRDefault="00895AFB" w:rsidP="00895AFB">
      <w:pPr>
        <w:pStyle w:val="Kop4"/>
      </w:pPr>
      <w:r w:rsidRPr="00900D62">
        <w:t>Uitvoering meervoudig bronhouderschap en consolidatie met concept ‘tijdelijk regelingdeel’</w:t>
      </w:r>
    </w:p>
    <w:p w14:paraId="089C9F38" w14:textId="77777777" w:rsidR="00895AFB" w:rsidRDefault="00895AFB" w:rsidP="00895AFB">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t>toepasbare regels</w:t>
      </w:r>
      <w:r w:rsidRPr="006D67F4">
        <w:t xml:space="preserve"> 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w:t>
      </w:r>
      <w:r>
        <w:lastRenderedPageBreak/>
        <w:t xml:space="preserve">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7B94DBA4" w14:textId="16C141D7" w:rsidR="00895AFB" w:rsidRDefault="00895AFB" w:rsidP="00895AFB">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uit</w:t>
      </w:r>
      <w:r w:rsidR="00BC180A">
        <w:t xml:space="preserve"> zoals weergegeven in </w:t>
      </w:r>
      <w:r w:rsidR="00BC180A">
        <w:fldChar w:fldCharType="begin"/>
      </w:r>
      <w:r w:rsidR="00BC180A">
        <w:instrText xml:space="preserve"> REF _Ref_7a50bf94ad15e8f0bf68287d333679f4_1 \n \h </w:instrText>
      </w:r>
      <w:r w:rsidR="00BC180A">
        <w:fldChar w:fldCharType="separate"/>
      </w:r>
      <w:r w:rsidR="00C235A5">
        <w:t>Figuur 1</w:t>
      </w:r>
      <w:r w:rsidR="00BC180A">
        <w:fldChar w:fldCharType="end"/>
      </w:r>
      <w:r w:rsidRPr="00D80239">
        <w:t>:</w:t>
      </w:r>
    </w:p>
    <w:p w14:paraId="18BB1A8B" w14:textId="77777777" w:rsidR="00895AFB" w:rsidRPr="003C30F3" w:rsidRDefault="00895AFB" w:rsidP="00895AFB">
      <w:pPr>
        <w:pStyle w:val="Figuur"/>
      </w:pPr>
      <w:r>
        <w:rPr>
          <w:noProof/>
        </w:rPr>
        <w:drawing>
          <wp:inline distT="0" distB="0" distL="0" distR="0" wp14:anchorId="5C96C98F" wp14:editId="1FBF5E66">
            <wp:extent cx="3952875" cy="2664079"/>
            <wp:effectExtent l="0" t="0" r="0" b="3175"/>
            <wp:docPr id="1415576832" name="Afbeelding 141557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CF5F2A1" w14:textId="77777777" w:rsidR="00895AFB" w:rsidRDefault="00895AFB" w:rsidP="00895AFB">
      <w:pPr>
        <w:pStyle w:val="Figuurbijschrift"/>
      </w:pPr>
      <w:r w:rsidRPr="00114BD5">
        <w:tab/>
      </w:r>
      <w:bookmarkStart w:id="52" w:name="_Ref_7a50bf94ad15e8f0bf68287d333679f4_1"/>
      <w:r w:rsidRPr="00114BD5">
        <w:t>Onderdelen geconsolideerde regeling: hoofdregeling en tijdelijk regel</w:t>
      </w:r>
      <w:r>
        <w:t>ing</w:t>
      </w:r>
      <w:r w:rsidRPr="00114BD5">
        <w:t>del</w:t>
      </w:r>
      <w:r>
        <w:t>en</w:t>
      </w:r>
      <w:bookmarkEnd w:id="52"/>
    </w:p>
    <w:p w14:paraId="47C13BFA" w14:textId="3770C9C7" w:rsidR="00C235A5" w:rsidRDefault="00895AFB" w:rsidP="00895AFB">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In STOP is het tijdelijk regelingdeel vormgegeven in het </w:t>
      </w:r>
      <w:r w:rsidRPr="001657E4">
        <w:t>tekstmodel RegelingTijdelijkdeel.</w:t>
      </w:r>
    </w:p>
    <w:p w14:paraId="41F378EF" w14:textId="7CF9A5E4" w:rsidR="00C235A5" w:rsidRDefault="00895AFB" w:rsidP="00895AFB">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w:t>
      </w:r>
    </w:p>
    <w:p w14:paraId="49BCB40E" w14:textId="105E216E" w:rsidR="00C235A5" w:rsidRDefault="00895AFB" w:rsidP="00895AFB">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06C61FD3" w14:textId="675455A6" w:rsidR="00895AFB" w:rsidRDefault="00895AFB" w:rsidP="00895AFB"/>
    <w:p w14:paraId="79BF9FB1" w14:textId="77777777" w:rsidR="00895AFB" w:rsidRDefault="00895AFB" w:rsidP="00895AFB">
      <w:r w:rsidRPr="00466C9F">
        <w:lastRenderedPageBreak/>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artikel 4.14 Ow). Bij die laatste categorie voorbereidingsbesluiten voegt het bevoegd gezag met het voorbereidingsbesluit voorbeschermingsregels toe aan het ‘eigen’ omgevingsplan.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Door ze onder te brengen in het tijdelijk regelingdeel is het technisch eenvoudig om ze niet meer te laten tonen nadat ze zijn vervallen. </w:t>
      </w:r>
      <w:r>
        <w:t>N</w:t>
      </w:r>
      <w:r w:rsidRPr="00466C9F">
        <w:t>a slechts een beperkte handeling zijn de voorbeschermingsregels dan niet meer zichtbaar in DSO-LV. Wanneer de voorbeschermingsregels rechtstreeks zijn opgenomen in de geconsolideerde versie van het omgevingsplan vraagt dat veel meer van plansoftware en administratie. Dan moet immers de volledige verwerking van de voorbeschermingsregels in het omgevingsplan worden teruggedraaid, waarbij eventueel ook nog tussentijdse wijzigingsbesluiten een rol kunnen spelen. Daarom is gekozen voor een oplossing die voor de bevoegde gezagen een zo beperkt mogelijk aantal complicaties met zich meebrengt.</w:t>
      </w:r>
    </w:p>
    <w:p w14:paraId="475E326D" w14:textId="77777777" w:rsidR="00895AFB" w:rsidRDefault="00895AFB" w:rsidP="00895AFB">
      <w:r w:rsidRPr="006D4B19">
        <w:t>Bij de reactieve interventie wordt het</w:t>
      </w:r>
      <w:r>
        <w:t xml:space="preserve"> tijdelijk regelingdeel</w:t>
      </w:r>
      <w:r w:rsidRPr="006D4B19">
        <w:t xml:space="preserve">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03C15372" w14:textId="1291B65B" w:rsidR="00895AFB" w:rsidRDefault="00895AFB" w:rsidP="00895AFB">
      <w:r>
        <w:t>H</w:t>
      </w:r>
      <w:r w:rsidRPr="00F644C3">
        <w:t xml:space="preserve">et tijdelijk regelingdeel waarmee </w:t>
      </w:r>
      <w:r>
        <w:t>een</w:t>
      </w:r>
      <w:r w:rsidRPr="00F644C3">
        <w:t xml:space="preserve"> projectbesluit het omgevingsplan wijzigt </w:t>
      </w:r>
      <w:r>
        <w:t xml:space="preserve">bevat </w:t>
      </w:r>
      <w:r w:rsidRPr="00F644C3">
        <w:t xml:space="preserve">permanente regels en verdwijnt </w:t>
      </w:r>
      <w:r>
        <w:t xml:space="preserve">dus </w:t>
      </w:r>
      <w:r w:rsidRPr="00F644C3">
        <w:t>niet. Daardoor kan er een langdurige situatie ontstaan waarin op een bepaalde locatie een of meer regels in de hoofdregeling in strijd 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w:t>
      </w:r>
      <w:r w:rsidR="00565925">
        <w:t xml:space="preserve"> er voor</w:t>
      </w:r>
      <w:r w:rsidRPr="00F644C3">
        <w:t xml:space="preserve"> kiezen om de regels waarmee een projectbesluit het omgevingsplan heeft gewijzigd, te verwerken in de hoofdregeling van het omgevingsplan. Als dat gedaan is, moet het tijdelijk regelingdeel niet meer getoond worden. De gemeente doet dat door bij de aanlevering van het wijzigingsbesluit waarmee de regels uit het tijdelijk regelingdeel in de hoofdregeling van het omgevingsplan worden verwerkt, ook de intrekking van het tijdelijk regelingdeel aan te leveren.</w:t>
      </w:r>
    </w:p>
    <w:p w14:paraId="2AAAF9B5" w14:textId="77777777" w:rsidR="00895AFB" w:rsidRDefault="00895AFB" w:rsidP="00895AFB"/>
    <w:p w14:paraId="7C3A5E8E" w14:textId="77777777" w:rsidR="00895AFB" w:rsidRDefault="00895AFB" w:rsidP="00895AFB">
      <w:r>
        <w:t xml:space="preserve">Ieder afzonderlijk voorbereidingsbesluit, reactieve interventie en projectbesluit leidt tot een afzonderlijk tijdelijk regelingdeel. Er kunnen dus tegelijkertijd voor het grondgebied van één gemeente meerdere tijdelijk regelingdelen zijn, ieder ontstaan uit een afzonderlijk voorbereidingsbesluit, afzonderlijke reactieve interventie of afzonderlijk projectbesluit. Het is dus niet zo dat er per gemeente één tijdelijk regelingdeel is waarin </w:t>
      </w:r>
      <w:r w:rsidRPr="003C3ACD">
        <w:t xml:space="preserve">alle reactieve interventies, alle wijzigingen vanuit projectbesluiten </w:t>
      </w:r>
      <w:r>
        <w:t xml:space="preserve">en </w:t>
      </w:r>
      <w:r w:rsidRPr="00C112B6">
        <w:t>de voorbeschermingsregels van alle genomen voorbereidingsbesluiten</w:t>
      </w:r>
      <w:r>
        <w:t>,</w:t>
      </w:r>
      <w:r w:rsidRPr="00C112B6">
        <w:t xml:space="preserve"> </w:t>
      </w:r>
      <w:r>
        <w:t>worden opgenomen.</w:t>
      </w:r>
    </w:p>
    <w:p w14:paraId="664A6A90" w14:textId="2ED61063" w:rsidR="00895AFB" w:rsidRDefault="00895AFB" w:rsidP="00895AFB">
      <w:r>
        <w:t xml:space="preserve">Visueel gemaakt in een kaartbeeld zoals dat in bijvoorbeeld DSO-LV te zien kan zijn, ziet dat eruit als weergegeven in </w:t>
      </w:r>
      <w:r w:rsidR="00057DFF">
        <w:rPr>
          <w:rStyle w:val="Verwijzing"/>
        </w:rPr>
        <w:fldChar w:fldCharType="begin"/>
      </w:r>
      <w:r w:rsidR="00057DFF">
        <w:instrText xml:space="preserve"> REF _Ref_7a50bf94ad15e8f0bf68287d333679f4_2 \n \h </w:instrText>
      </w:r>
      <w:r w:rsidR="00057DFF">
        <w:rPr>
          <w:rStyle w:val="Verwijzing"/>
        </w:rPr>
      </w:r>
      <w:r w:rsidR="00057DFF">
        <w:rPr>
          <w:rStyle w:val="Verwijzing"/>
        </w:rPr>
        <w:fldChar w:fldCharType="separate"/>
      </w:r>
      <w:r w:rsidR="00C235A5">
        <w:t>Figuur 2</w:t>
      </w:r>
      <w:r w:rsidR="00057DFF">
        <w:rPr>
          <w:rStyle w:val="Verwijzing"/>
        </w:rPr>
        <w:fldChar w:fldCharType="end"/>
      </w:r>
      <w:r>
        <w:t>:</w:t>
      </w:r>
    </w:p>
    <w:p w14:paraId="4FE7159D" w14:textId="77777777" w:rsidR="00895AFB" w:rsidRDefault="00895AFB" w:rsidP="00895AFB">
      <w:pPr>
        <w:pStyle w:val="Figuur"/>
      </w:pPr>
      <w:r>
        <w:rPr>
          <w:noProof/>
        </w:rPr>
        <w:lastRenderedPageBreak/>
        <w:drawing>
          <wp:inline distT="0" distB="0" distL="0" distR="0" wp14:anchorId="0B9534AB" wp14:editId="76122DC7">
            <wp:extent cx="5153025" cy="3200038"/>
            <wp:effectExtent l="0" t="0" r="0" b="635"/>
            <wp:docPr id="1415576833" name="Afbeelding 141557683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kaart&#10;&#10;Automatisch gegenereerde beschrijving"/>
                    <pic:cNvPicPr/>
                  </pic:nvPicPr>
                  <pic:blipFill>
                    <a:blip r:embed="rId25"/>
                    <a:stretch>
                      <a:fillRect/>
                    </a:stretch>
                  </pic:blipFill>
                  <pic:spPr>
                    <a:xfrm>
                      <a:off x="0" y="0"/>
                      <a:ext cx="5159399" cy="3203996"/>
                    </a:xfrm>
                    <a:prstGeom prst="rect">
                      <a:avLst/>
                    </a:prstGeom>
                  </pic:spPr>
                </pic:pic>
              </a:graphicData>
            </a:graphic>
          </wp:inline>
        </w:drawing>
      </w:r>
    </w:p>
    <w:p w14:paraId="6F35192D" w14:textId="77777777" w:rsidR="00895AFB" w:rsidRDefault="00895AFB" w:rsidP="00895AFB">
      <w:pPr>
        <w:pStyle w:val="Figuurbijschrift"/>
      </w:pPr>
      <w:bookmarkStart w:id="53" w:name="_Ref_7a50bf94ad15e8f0bf68287d333679f4_2"/>
      <w:r w:rsidRPr="0020452A">
        <w:t>Schematisch kaartbeeld van geconsolideerde regeling bestaande uit hoofdregeling en tijdelijk regelingdelen van één gemeente</w:t>
      </w:r>
      <w:bookmarkEnd w:id="53"/>
    </w:p>
    <w:p w14:paraId="3159E287" w14:textId="6557EFC8" w:rsidR="00895AFB" w:rsidRDefault="00895AFB" w:rsidP="005961CF">
      <w:r w:rsidRPr="00376B31">
        <w:t xml:space="preserve">Opgemerkt wordt dat er toepasbare regels kunnen zijn bij regels uit de hoofdregeling die door </w:t>
      </w:r>
      <w:r>
        <w:t xml:space="preserve">een </w:t>
      </w:r>
      <w:r w:rsidRPr="00376B31">
        <w:t xml:space="preserve">voorbereidingsbesluit </w:t>
      </w:r>
      <w:r>
        <w:t xml:space="preserve">of projectbesluit </w:t>
      </w:r>
      <w:r w:rsidRPr="00376B31">
        <w:t>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24" Type="http://schemas.openxmlformats.org/officeDocument/2006/relationships/image" Target="media/image_fc0202bf53462d53b8717d531f367866.png"/><Relationship Id="rId25" Type="http://schemas.openxmlformats.org/officeDocument/2006/relationships/image" Target="media/image_dfbf99f52e6982e24a00159387ab27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