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78" w:name="_Ref_ae32d4998597eace481845eb83e463ee_1"/>
      <w:bookmarkEnd w:id="70"/>
      <w:r>
        <w:t>Overgangsrecht en o</w:t>
      </w:r>
      <w:r w:rsidRPr="00F62F31">
        <w:t>vergangsfase</w:t>
      </w:r>
      <w:bookmarkEnd w:id="78"/>
    </w:p>
    <w:p w14:paraId="38AA8C50" w14:textId="5AD6CAE4"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00E33451">
        <w:rPr>
          <w:bCs/>
        </w:rPr>
        <w:t>,</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lastRenderedPageBreak/>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1EEC4B84"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009535B7">
        <w:rPr>
          <w:rStyle w:val="Verwijzing"/>
        </w:rPr>
        <w:fldChar w:fldCharType="begin"/>
      </w:r>
      <w:r w:rsidR="009535B7">
        <w:instrText xml:space="preserve"> REF _Ref_b8d4340334150dcb2c66a1916cf79862_2 \n \h </w:instrText>
      </w:r>
      <w:r w:rsidR="009535B7">
        <w:rPr>
          <w:rStyle w:val="Verwijzing"/>
        </w:rPr>
      </w:r>
      <w:r w:rsidR="009535B7">
        <w:rPr>
          <w:rStyle w:val="Verwijzing"/>
        </w:rPr>
        <w:fldChar w:fldCharType="separate"/>
      </w:r>
      <w:r w:rsidR="002D10A5">
        <w:t>7.19</w:t>
      </w:r>
      <w:r w:rsidR="009535B7">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