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7777777" w:rsidR="000F2CCF" w:rsidRPr="00307038" w:rsidRDefault="000F2CCF" w:rsidP="000F2CCF">
      <w:pPr>
        <w:pStyle w:val="Kop4"/>
      </w:pPr>
      <w:r>
        <w:t xml:space="preserve">Het juridische besluit in de informatiekundige context van de </w:t>
      </w:r>
      <w:r w:rsidRPr="00455DCD">
        <w:t>STOP/TPOD-standaard</w:t>
      </w:r>
    </w:p>
    <w:p w14:paraId="775BDD8F" w14:textId="77777777" w:rsidR="000F2CCF"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 </w:t>
      </w:r>
    </w:p>
    <w:p w14:paraId="1A4FA938" w14:textId="77777777"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749D3B64"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die in DSO-LV te raadplegen is.</w:t>
      </w:r>
    </w:p>
    <w:p w14:paraId="073728F9" w14:textId="4431D81A"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_Ref_36e4a451338fc142dbf2634b53d483db_1 \n \h </w:instrText>
      </w:r>
      <w:r w:rsidR="001F3E3C">
        <w:rPr>
          <w:highlight w:val="yellow"/>
        </w:rPr>
      </w:r>
      <w:r w:rsidR="001F3E3C">
        <w:rPr>
          <w:highlight w:val="yellow"/>
        </w:rPr>
        <w:fldChar w:fldCharType="separate"/>
      </w:r>
      <w:r w:rsidR="002D10A5">
        <w:t>4.2.3</w:t>
      </w:r>
      <w:r w:rsidR="001F3E3C">
        <w:rPr>
          <w:highlight w:val="yellow"/>
        </w:rPr>
        <w:fldChar w:fldCharType="end"/>
      </w:r>
      <w:r w:rsidRPr="00F625E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