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4420" w14:textId="77777777" w:rsidR="00713915" w:rsidRPr="00F03DD9" w:rsidRDefault="00713915" w:rsidP="00713915">
      <w:pPr>
        <w:pStyle w:val="Kop5"/>
      </w:pPr>
      <w:r w:rsidRPr="00F03DD9">
        <w:t>Toelichting</w:t>
      </w:r>
    </w:p>
    <w:p w14:paraId="77AB9E5B" w14:textId="77777777" w:rsidR="00150870" w:rsidRDefault="00150870" w:rsidP="00150870">
      <w:r>
        <w:t>Bij het opstellen en wijzigen van omgevingsdocumenten werkt het bevoegd gezag in de eigen plansoftware aan het omgevingsdocument in Regeling-vorm: de volledige inhoud van het omgevingsdocument. Met de volledige inhoud wordt bedoeld: alle artikelen (en boven- en onderliggende tekstelementen), alle informatieobjecten en alle OW-informatie.</w:t>
      </w:r>
    </w:p>
    <w:p w14:paraId="446A6ADE" w14:textId="0DE70B83" w:rsidR="00713915" w:rsidRDefault="00150870" w:rsidP="00150870">
      <w:r>
        <w:t xml:space="preserve">Voorafgaand aan de publicatie van een ontwerpbesluit en voorafgaand aan (en eventueel ook na) het nemen van een definitief besluit genereert de software van het bevoegd gezag uit die </w:t>
      </w:r>
      <w:r>
        <w:lastRenderedPageBreak/>
        <w:t>Regeling een Besluit. In het geval van een besluit tot het instellen van een nieuwe Regeling genereert de software een Besluit met daarin de volledige nieuwe Regeling, in het geval van een wijzigingsbesluit genereert de software een Besluit dat -in principe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de STOP/TPOD-standaard eisen aan de vormgeving van de tekst van Besluit en Regeling. Die eisen zijn vastgelegd in modellen voor Besluit en modellen voor Regeling. Zoals hiervoor al gezegd kent de STOP/TPOD-standaard twee modellen voor documenten met Artikelstructuur: het compacte model (RegelingCompact en BesluitCompact) en het klassieke model (RegelingKlassiek en BesluitKlassiek).</w:t>
      </w:r>
    </w:p>
    <w:p w14:paraId="6C699E0A" w14:textId="77777777" w:rsidR="00150870" w:rsidRPr="00F03DD9" w:rsidRDefault="00150870" w:rsidP="00150870"/>
    <w:p w14:paraId="11C6887C" w14:textId="74098BE0" w:rsidR="00ED0A54" w:rsidRPr="00F03DD9" w:rsidRDefault="00713915" w:rsidP="00150870">
      <w:r w:rsidRPr="00F03DD9">
        <w:t xml:space="preserve">Alvorens te beginnen met het opstellen van een omgevingsdocument met Artikelstructuur </w:t>
      </w:r>
      <w:r w:rsidRPr="003B73EC">
        <w:t xml:space="preserve">van het Rijk </w:t>
      </w:r>
      <w:r w:rsidRPr="00F03DD9">
        <w:t xml:space="preserve">dient het </w:t>
      </w:r>
      <w:r>
        <w:t>bestuursorgaan</w:t>
      </w:r>
      <w:r w:rsidRPr="00F03DD9">
        <w:t xml:space="preserve"> te kiezen tussen de twee modellen van STOP voor de Artikelstructuur: het </w:t>
      </w:r>
      <w:r w:rsidR="00150870" w:rsidRPr="00150870">
        <w:t xml:space="preserve">klassieke </w:t>
      </w:r>
      <w:r w:rsidRPr="00F03DD9">
        <w:t xml:space="preserve">model of het </w:t>
      </w:r>
      <w:r w:rsidR="00150870" w:rsidRPr="00150870">
        <w:t xml:space="preserve">compacte </w:t>
      </w:r>
      <w:r w:rsidRPr="00F03DD9">
        <w:t xml:space="preserve">model. </w:t>
      </w:r>
      <w:r>
        <w:t>Wanneer het omgevingsdocument eenmaal is vormgegeven conform een van de modellen, kan niet op een later moment in de levensloop van datzelfde omgevingsdocument zomaar worden overgestapt op het andere model.</w:t>
      </w:r>
    </w:p>
    <w:p w14:paraId="75E73F05" w14:textId="086EC6B5" w:rsidR="00713915" w:rsidRPr="00F03DD9" w:rsidRDefault="00713915" w:rsidP="00713915">
      <w:pPr>
        <w:spacing w:line="240" w:lineRule="auto"/>
      </w:pPr>
    </w:p>
    <w:p w14:paraId="4369A5B7" w14:textId="77777777" w:rsidR="00713915" w:rsidRDefault="00713915" w:rsidP="00713915">
      <w:pPr>
        <w:spacing w:line="240" w:lineRule="auto"/>
      </w:pPr>
      <w:r w:rsidRPr="00F03DD9">
        <w:t>In de navolgende subparagrafen wordt de toepassing van de STOP-</w:t>
      </w:r>
      <w:r>
        <w:t>Model</w:t>
      </w:r>
      <w:r w:rsidRPr="00F03DD9">
        <w:t>len voor AMvB en MR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