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795D" w14:textId="77777777" w:rsidR="00713915" w:rsidRDefault="00713915" w:rsidP="00713915">
      <w:pPr>
        <w:pStyle w:val="Kop5"/>
      </w:pPr>
      <w:r>
        <w:t>Toelichting</w:t>
      </w:r>
    </w:p>
    <w:p w14:paraId="4F6B82D8" w14:textId="10EE9165" w:rsidR="00030D6F" w:rsidRDefault="00713915" w:rsidP="00713915">
      <w:r>
        <w:t xml:space="preserve">Bij het opstellen en wijzigen van omgevingsdocumenten werkt het bevoegd gezag in de eigen </w:t>
      </w:r>
      <w:r w:rsidR="0064064E">
        <w:t>plan</w:t>
      </w:r>
      <w:r>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t>.</w:t>
      </w:r>
    </w:p>
    <w:p w14:paraId="0678FE4A" w14:textId="75630F09" w:rsidR="00713915" w:rsidRDefault="00713915" w:rsidP="00713915">
      <w:r>
        <w:t>Voorafgaand aan (en eventueel ook na) het nemen van het voorbereidingsbesluit genereert de software van het bevoegd gezag uit die Regeling een Besluit. In het geval van een nieuw voorbereidingsbesluit genereert de software een Besluit met daarin het volledige nieuwe tijdelijk regelingdeel met voorbeschermingsregels, in het geval van een wijzigingsbesluit genereert de software een B</w:t>
      </w:r>
      <w:r w:rsidRPr="006812FE">
        <w:t xml:space="preserve">esluit dat </w:t>
      </w:r>
      <w:r w:rsidR="00BE556D">
        <w:t>-</w:t>
      </w:r>
      <w:r w:rsidR="00696D7E">
        <w:t>in principe</w:t>
      </w:r>
      <w:r w:rsidR="00BE556D">
        <w:t xml:space="preserve"> </w:t>
      </w:r>
      <w:r w:rsidRPr="006812FE">
        <w:t>in renvooiweergave</w:t>
      </w:r>
      <w:r w:rsidR="00BE556D">
        <w:t>-</w:t>
      </w:r>
      <w:r w:rsidRPr="006812FE">
        <w:t xml:space="preserve"> de wijzigingen bevat van de bestaande </w:t>
      </w:r>
      <w:r w:rsidRPr="00FD0B4A">
        <w:t>versie van het tijdelijk regelingdeel naar de nieuwe versie van het tijdelijk regelingdeel, oftewel een overzicht van de wijzigingen die het besluit aanbrengt in het bestaande tijdelijk regelingdeel.</w:t>
      </w:r>
      <w:r>
        <w:t xml:space="preserve"> </w:t>
      </w:r>
      <w:r w:rsidRPr="004E356A">
        <w:t>Naast het onderdeel met het nieuwe tijdelijk regelingdeel of de wijzigingen in het bestaande tijdelijk regelingdeel</w:t>
      </w:r>
      <w:r>
        <w:t xml:space="preserve">, bevat het Besluit ook andere </w:t>
      </w:r>
      <w:r>
        <w:lastRenderedPageBreak/>
        <w:t xml:space="preserve">onderdelen, zoals de ondertekening, motivering en bijlagen. Het bevoegd gezag levert het Besluit aan de LVBB aan. De LVBB zorgt ervoor dat het aangeleverde Besluit bekend gemaakt wordt en genereert met behulp van het Besluit </w:t>
      </w:r>
      <w:r w:rsidRPr="003C6CCC">
        <w:t>een nieuw tijdelijk regelingdeel of een nieuwe versie van een tijdelijk regelingdeel. Ook zorgt de LVBB ervoor dat het tijdelijk regelingdeel samen met de juiste hoofdregeling de geconsolideerde versie van omgevingsplan of omgevingsverordening vorm</w:t>
      </w:r>
      <w:r>
        <w:t xml:space="preserve">t. Om het de LVBB mogelijk te maken om die verwerkingen te doen stelt </w:t>
      </w:r>
      <w:r w:rsidR="007D30AE">
        <w:t xml:space="preserve">de </w:t>
      </w:r>
      <w:r>
        <w:t>STOP</w:t>
      </w:r>
      <w:r w:rsidR="007D30AE">
        <w:t>/TPOD-standaard</w:t>
      </w:r>
      <w:r>
        <w:t xml:space="preserve"> eisen aan de vormgeving van de tekst van Regeling en Besluit. Die eisen zijn vastgelegd in modellen voor </w:t>
      </w:r>
      <w:r w:rsidR="000B7DE7" w:rsidRPr="000B7DE7">
        <w:t xml:space="preserve">Besluit </w:t>
      </w:r>
      <w:r>
        <w:t xml:space="preserve">en modellen voor </w:t>
      </w:r>
      <w:r w:rsidR="000B7DE7" w:rsidRPr="000B7DE7">
        <w:t>Regeling</w:t>
      </w:r>
      <w:r>
        <w:t>.</w:t>
      </w:r>
    </w:p>
    <w:p w14:paraId="6AC00E1C" w14:textId="22F45E49" w:rsidR="00713915" w:rsidRDefault="00C4741E" w:rsidP="00713915">
      <w:r>
        <w:t xml:space="preserve">De </w:t>
      </w:r>
      <w:r w:rsidR="00713915">
        <w:t>STOP</w:t>
      </w:r>
      <w:r>
        <w:t>/TPOD-standaard</w:t>
      </w:r>
      <w:r w:rsidR="00713915">
        <w:t xml:space="preserve"> kent voor instrumenten met een tijdelijk regelingdeel het model RegelingTijdelijkdeel, dat gecombineerd moet worden met BesluitCompact als model voor het Besluit. De toepassing daarvan op het voorbereidingsbesluit en de voorbeschermingsregels wordt beschreven in paragraaf </w:t>
      </w:r>
      <w:r w:rsidR="009B7CEC">
        <w:fldChar w:fldCharType="begin"/>
      </w:r>
      <w:r w:rsidR="009B7CEC">
        <w:instrText xml:space="preserve"> REF _Ref_635fba0aaeef588fbf3ddf519de24ba7_1 \n \h </w:instrText>
      </w:r>
      <w:r w:rsidR="009B7CEC">
        <w:fldChar w:fldCharType="separate"/>
      </w:r>
      <w:r w:rsidR="002D10A5">
        <w:t>4.8.2</w:t>
      </w:r>
      <w:r w:rsidR="009B7CEC">
        <w:fldChar w:fldCharType="end"/>
      </w:r>
      <w:r w:rsidR="00713915">
        <w:t xml:space="preserve"> (Besluit) en paragraaf </w:t>
      </w:r>
      <w:r w:rsidR="009B7CEC">
        <w:fldChar w:fldCharType="begin"/>
      </w:r>
      <w:r w:rsidR="009B7CEC">
        <w:instrText xml:space="preserve"> REF _Ref_1a59f803a9f7352bf3cae09ba96c9e70_1 \n \h </w:instrText>
      </w:r>
      <w:r w:rsidR="009B7CEC">
        <w:fldChar w:fldCharType="separate"/>
      </w:r>
      <w:r w:rsidR="002D10A5">
        <w:t>4.8.3</w:t>
      </w:r>
      <w:r w:rsidR="009B7CEC">
        <w:fldChar w:fldCharType="end"/>
      </w:r>
      <w:r w:rsidR="00713915">
        <w:t xml:space="preserve"> (Regeling).</w:t>
      </w:r>
      <w:r w:rsidR="00980AD1">
        <w:t xml:space="preserve"> </w:t>
      </w:r>
      <w:r w:rsidR="003C0976" w:rsidRPr="003C0976">
        <w:t>In de paragrafen Norm wordt voorgeschreven hoe de modellen moeten worden toegepast.</w:t>
      </w:r>
      <w:r w:rsidR="008C2301">
        <w:t xml:space="preserve"> </w:t>
      </w:r>
      <w:r w:rsidR="00980AD1" w:rsidRPr="00980AD1">
        <w:t>In de paragrafen Toelichting en Voorbeeld bij beide worden tekstvoorbeelden gegeven.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