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270" w:name="_Ref_963b0cf716b44dc7299f991bc0b8299a_1"/>
      <w:r>
        <w:t>Norm</w:t>
      </w:r>
      <w:bookmarkEnd w:id="270"/>
    </w:p>
    <w:p w14:paraId="3BCD05B7" w14:textId="6C3FB50E"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rsidR="00D11E03">
        <w:t xml:space="preserve">Bij een </w:t>
      </w:r>
      <w:r w:rsidR="00E07088" w:rsidRPr="00E07088">
        <w:t xml:space="preserve">voorbereidingsbesluit </w:t>
      </w:r>
      <w:r w:rsidR="00D11E03">
        <w:t xml:space="preserve">van een provincie of het Rijk dat </w:t>
      </w:r>
      <w:r w:rsidR="00E07974">
        <w:t xml:space="preserve">de omgevingsplannen van meerdere gemeenten wijzigt met </w:t>
      </w:r>
      <w:r w:rsidR="00E07974">
        <w:lastRenderedPageBreak/>
        <w:t xml:space="preserve">voorbeschermingsregels is er per omgevingsplan </w:t>
      </w:r>
      <w:r w:rsidR="00E07974" w:rsidRPr="00E07974">
        <w:t>een tijdelijk regelingdeel</w:t>
      </w:r>
      <w:r w:rsidR="00E07974">
        <w:t>.</w:t>
      </w:r>
      <w:r w:rsidR="00E07974"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4E523D">
      <w:pPr>
        <w:pStyle w:val="Opsommingnummers1"/>
        <w:numPr>
          <w:ilvl w:val="0"/>
          <w:numId w:val="30"/>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32"/>
      </w:r>
      <w:r>
        <w:t xml:space="preserve">. </w:t>
      </w:r>
      <w:r w:rsidRPr="006B253B">
        <w:t>Verplicht element. Komt 1 keer voor.</w:t>
      </w:r>
      <w:r>
        <w:t xml:space="preserve"> Het Lichaam bevat de volgende elementen:</w:t>
      </w:r>
    </w:p>
    <w:p w14:paraId="0CC37433" w14:textId="41198CA5"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00DD1381"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67E0DCF5"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863F41">
        <w:rPr>
          <w:rStyle w:val="Verwijzing"/>
        </w:rPr>
        <w:fldChar w:fldCharType="begin"/>
      </w:r>
      <w:r w:rsidR="006448B5" w:rsidRPr="00863F41">
        <w:rPr>
          <w:rStyle w:val="Verwijzing"/>
        </w:rPr>
        <w:instrText xml:space="preserve"> REF _Ref_94c20abb9240e2a249fc7a9ac12ebb11_4 \n \h </w:instrText>
      </w:r>
      <w:r w:rsidR="006448B5" w:rsidRPr="00863F41">
        <w:rPr>
          <w:rStyle w:val="Verwijzing"/>
        </w:rPr>
      </w:r>
      <w:r w:rsidR="006448B5" w:rsidRPr="00863F41">
        <w:rPr>
          <w:rStyle w:val="Verwijzing"/>
        </w:rPr>
        <w:fldChar w:fldCharType="separate"/>
      </w:r>
      <w:r w:rsidR="00D33EA9">
        <w:rPr>
          <w:rStyle w:val="Verwijzing"/>
        </w:rPr>
        <w:t>5.2</w:t>
      </w:r>
      <w:r w:rsidR="006448B5" w:rsidRPr="00863F41">
        <w:rPr>
          <w:rStyle w:val="Verwijzing"/>
        </w:rPr>
        <w:fldChar w:fldCharType="end"/>
      </w:r>
      <w:r w:rsidRPr="00847F17">
        <w:t>.</w:t>
      </w:r>
      <w:r>
        <w:t xml:space="preserve"> </w:t>
      </w:r>
      <w:r w:rsidRPr="0070647F">
        <w:t>Het is verplicht om deze artikelen onder te brengen in een of meer hoofdstukken.</w:t>
      </w:r>
      <w:r w:rsidR="00D21CF0">
        <w:t xml:space="preserve"> Desgewenst </w:t>
      </w:r>
      <w:r w:rsidR="00EF6468">
        <w:t>kunnen de hoofdstukken worden</w:t>
      </w:r>
      <w:r w:rsidR="0086019B">
        <w:t xml:space="preserve"> gestructureerd met </w:t>
      </w:r>
      <w:r w:rsidR="00CD481E">
        <w:t xml:space="preserve">de structuurelementen die </w:t>
      </w:r>
      <w:r w:rsidR="008B570C">
        <w:t xml:space="preserve">volgens </w:t>
      </w:r>
      <w:r w:rsidR="00CD481E">
        <w:t xml:space="preserve">paragraaf </w:t>
      </w:r>
      <w:r w:rsidR="00CA45E3">
        <w:fldChar w:fldCharType="begin"/>
      </w:r>
      <w:r w:rsidR="00CA45E3">
        <w:instrText xml:space="preserve"> REF _Ref_7f83b74882c3997a229edf0247e78f64_1 \n \h </w:instrText>
      </w:r>
      <w:r w:rsidR="00CA45E3">
        <w:fldChar w:fldCharType="separate"/>
      </w:r>
      <w:r w:rsidR="00D33EA9">
        <w:t>5.2.1.1</w:t>
      </w:r>
      <w:r w:rsidR="00CA45E3">
        <w:fldChar w:fldCharType="end"/>
      </w:r>
      <w:r w:rsidR="00CA45E3">
        <w:t xml:space="preserve"> </w:t>
      </w:r>
      <w:r w:rsidR="00CD481E">
        <w:t xml:space="preserve">zijn </w:t>
      </w:r>
      <w:r w:rsidR="00CA45E3">
        <w:t>toegestaan</w:t>
      </w:r>
      <w:r w:rsidR="00CD481E">
        <w:t>.</w:t>
      </w:r>
    </w:p>
    <w:p w14:paraId="580A9C76" w14:textId="26196F33"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0E8FB03F" w:rsidR="00713915" w:rsidRDefault="00713915" w:rsidP="00713915">
      <w:pPr>
        <w:pStyle w:val="Opsommingtekens2"/>
      </w:pPr>
      <w:r w:rsidRPr="00E201BB">
        <w:t>De inhoud van de Bijlage</w:t>
      </w:r>
      <w:r w:rsidR="005862FA" w:rsidRPr="005862FA">
        <w:t>, opgebouwd met Divisie (optioneel element) en Divisietekst (verplicht element). Indien een Bijlage inhoud bevat, mogen in die Bijlage de 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E508E50" w14:textId="03F8DD21" w:rsidR="000B22B5" w:rsidRDefault="000B22B5" w:rsidP="00376535">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0231C3">
        <w:t xml:space="preserve"> </w:t>
      </w:r>
      <w:r w:rsidR="000231C3" w:rsidRPr="000231C3">
        <w:t>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183E93">
        <w:t xml:space="preserve"> en</w:t>
      </w:r>
      <w:r w:rsidRPr="000B22B5">
        <w:t xml:space="preserve"> moet worden gemodelleerd als </w:t>
      </w:r>
      <w:r w:rsidR="00AC2BDC">
        <w:t>informatieobject</w:t>
      </w:r>
      <w:r w:rsidRPr="000B22B5">
        <w:t>.</w:t>
      </w:r>
    </w:p>
    <w:p w14:paraId="00CC5AF6" w14:textId="7B188E45"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713915" w:rsidRDefault="00713915" w:rsidP="000C6BDC">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713915" w:rsidRDefault="00713915" w:rsidP="00376535">
      <w:pPr>
        <w:pStyle w:val="Opsommingtekens2"/>
      </w:pPr>
      <w:r w:rsidRPr="0085735B">
        <w:rPr>
          <w:i/>
          <w:iCs/>
        </w:rPr>
        <w:t>AlgemeneToelichting</w:t>
      </w:r>
      <w:r w:rsidRPr="007417E4">
        <w:t>:</w:t>
      </w:r>
      <w:r>
        <w:t xml:space="preserve"> STOP-element dat de algemene toelichting bevat. </w:t>
      </w:r>
      <w:r w:rsidR="00016498">
        <w:t xml:space="preserve">Optioneel </w:t>
      </w:r>
      <w:r>
        <w:t xml:space="preserve">element. Komt </w:t>
      </w:r>
      <w:r w:rsidR="00016498">
        <w:t xml:space="preserve">0 of </w:t>
      </w:r>
      <w:r>
        <w:t>1 keer voor.</w:t>
      </w:r>
      <w:r>
        <w:br/>
        <w:t xml:space="preserve">Een AlgemeneToelichting bevat </w:t>
      </w:r>
      <w:r w:rsidRPr="004868B7">
        <w:t>de volgende elementen</w:t>
      </w:r>
      <w:r>
        <w:t>:</w:t>
      </w:r>
    </w:p>
    <w:p w14:paraId="796341CA" w14:textId="77777777" w:rsidR="00713915" w:rsidRDefault="00713915"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0FDA3E7A"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A498EB8" w14:textId="116F9B2D" w:rsidR="00713915" w:rsidRDefault="00713915"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713915" w:rsidRDefault="00713915"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63E3345D"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E11E06A" w14:textId="6860380C" w:rsidR="00713915" w:rsidRDefault="00C7135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7C3EBC" w:rsidRPr="007C3EBC">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w:t>
      </w:r>
      <w:r w:rsidRPr="00B66A57">
        <w:lastRenderedPageBreak/>
        <w:t>geconsolideerd.</w:t>
      </w:r>
      <w:r w:rsidR="00C7135F">
        <w:t xml:space="preserve"> </w:t>
      </w:r>
      <w:r w:rsidR="00C7135F" w:rsidRPr="00C7135F">
        <w:t>Voor een bijlage bij de Toelichting gelden dezelfde eisen als voor het ‘hoofdelement’ Bijlage.</w:t>
      </w:r>
    </w:p>
    <w:p w14:paraId="7AF93900" w14:textId="62521A71" w:rsidR="00713915" w:rsidRDefault="00713915" w:rsidP="00C7135F">
      <w:pPr>
        <w:pStyle w:val="Opsommingnummers1"/>
      </w:pPr>
      <w:r w:rsidRPr="00333656">
        <w:rPr>
          <w:b/>
          <w:bCs/>
        </w:rPr>
        <w:t>Artikelgewijze</w:t>
      </w:r>
      <w:r>
        <w:rPr>
          <w:b/>
          <w:bCs/>
        </w:rPr>
        <w:t>T</w:t>
      </w:r>
      <w:r w:rsidRPr="00333656">
        <w:rPr>
          <w:b/>
          <w:bCs/>
        </w:rPr>
        <w:t>oelichting</w:t>
      </w:r>
      <w:r w:rsidRPr="00F03DD9">
        <w:t xml:space="preserve">: </w:t>
      </w:r>
      <w:r w:rsidR="00C7135F"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0028187A" w:rsidRPr="0028187A">
        <w:t xml:space="preserve">Dit element zal in een toekomstige versie van de standaard vervallen; gebruik daarvan wordt daarom nu afgeraden. </w:t>
      </w:r>
      <w:r w:rsidR="00C7135F" w:rsidRPr="00C7135F">
        <w:t>Indien toch gebruikt gelden voor deze ArtikelgewijzeToelichting dezelfde eisen als voor de ArtikelgewijzeToelichting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