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9D86" w14:textId="77777777" w:rsidR="00713915" w:rsidRDefault="00713915" w:rsidP="00713915">
      <w:pPr>
        <w:pStyle w:val="Kop5"/>
      </w:pPr>
      <w:bookmarkStart w:id="274" w:name="_Ref_211b0bb0dc9ee6c2961d757a061e2c1e_1"/>
      <w:r>
        <w:t>Toelichting</w:t>
      </w:r>
      <w:bookmarkEnd w:id="274"/>
    </w:p>
    <w:p w14:paraId="6D040680" w14:textId="65A605E1" w:rsidR="00713915" w:rsidRDefault="00713915" w:rsidP="00713915">
      <w:r w:rsidRPr="00446D75">
        <w:t xml:space="preserve">RegelingTijdelijkdeel is het model dat een bevoegd gezag moet gebruiken </w:t>
      </w:r>
      <w:r>
        <w:t xml:space="preserve">bij het vaststellen van </w:t>
      </w:r>
      <w:r w:rsidRPr="00236A32">
        <w:t>nieuwe voorbeschermingsregels</w:t>
      </w:r>
      <w:r>
        <w:t>,</w:t>
      </w:r>
      <w:r w:rsidRPr="00236A32">
        <w:t xml:space="preserve"> </w:t>
      </w:r>
      <w:r w:rsidRPr="00446D75">
        <w:t xml:space="preserve">als </w:t>
      </w:r>
      <w:r>
        <w:t xml:space="preserve">onderdeel van </w:t>
      </w:r>
      <w:r w:rsidRPr="00446D75">
        <w:t xml:space="preserve">een voorbereidingsbesluit. </w:t>
      </w:r>
      <w:r>
        <w:t>I</w:t>
      </w:r>
      <w:r w:rsidRPr="00352C14">
        <w:t xml:space="preserve">eder tijdelijk regelingdeel met voorbeschermingsregels </w:t>
      </w:r>
      <w:r>
        <w:t xml:space="preserve">is daardoor opgebouwd conform het model </w:t>
      </w:r>
      <w:r w:rsidRPr="00446D75">
        <w:t>RegelingTijdelijkdeel.</w:t>
      </w:r>
      <w:r>
        <w:t xml:space="preserve"> Zoals in hoofdstuk </w:t>
      </w:r>
      <w:r w:rsidR="003A77E7" w:rsidRPr="00863F41">
        <w:rPr>
          <w:rStyle w:val="Verwijzing"/>
        </w:rPr>
        <w:fldChar w:fldCharType="begin"/>
      </w:r>
      <w:r w:rsidR="003A77E7" w:rsidRPr="00863F41">
        <w:rPr>
          <w:rStyle w:val="Verwijzing"/>
        </w:rPr>
        <w:instrText xml:space="preserve"> REF _Ref_cab8544df19a8faf914eabded19c75ec_1 \n \h </w:instrText>
      </w:r>
      <w:r w:rsidR="003A77E7" w:rsidRPr="00863F41">
        <w:rPr>
          <w:rStyle w:val="Verwijzing"/>
        </w:rPr>
      </w:r>
      <w:r w:rsidR="003A77E7" w:rsidRPr="00863F41">
        <w:rPr>
          <w:rStyle w:val="Verwijzing"/>
        </w:rPr>
        <w:fldChar w:fldCharType="separate"/>
      </w:r>
      <w:r w:rsidR="00D33EA9">
        <w:rPr>
          <w:rStyle w:val="Verwijzing"/>
        </w:rPr>
        <w:t>2</w:t>
      </w:r>
      <w:r w:rsidR="003A77E7" w:rsidRPr="00863F41">
        <w:rPr>
          <w:rStyle w:val="Verwijzing"/>
        </w:rPr>
        <w:fldChar w:fldCharType="end"/>
      </w:r>
      <w:r>
        <w:t xml:space="preserve"> is beschreven, vormt het tijdelijk regelingdeel (of, indien er meer tijdelijk regelingdelen zijn: alle tijdelijk regelingdelen) samen met de hoofdregeling de geconsolideerde versie van omgevingsplan of omgevingsverordening.</w:t>
      </w:r>
    </w:p>
    <w:p w14:paraId="4E7A611F" w14:textId="77777777" w:rsidR="00713915" w:rsidRDefault="00713915" w:rsidP="00713915"/>
    <w:p w14:paraId="6122CAED" w14:textId="05A09FC3" w:rsidR="00CF655B" w:rsidRDefault="00713915" w:rsidP="00713915">
      <w:r w:rsidRPr="00AE0435">
        <w:t xml:space="preserve">In deze paragraaf worden de elementen toegelicht die moeten respectievelijk kunnen voorkomen in </w:t>
      </w:r>
      <w:r>
        <w:t>het</w:t>
      </w:r>
      <w:r w:rsidRPr="00AE0435">
        <w:t xml:space="preserve"> </w:t>
      </w:r>
      <w:r>
        <w:t>tijdelijk regelingdeel van het voorbereidingsbesluit,</w:t>
      </w:r>
      <w:r w:rsidRPr="00AE0435">
        <w:t xml:space="preserve"> overeenkomstig het model </w:t>
      </w:r>
      <w:r>
        <w:t>RegelingTijdelijkdeel</w:t>
      </w:r>
      <w:r w:rsidRPr="00AE0435">
        <w:t xml:space="preserve">. </w:t>
      </w:r>
      <w:r w:rsidR="000B74B6">
        <w:fldChar w:fldCharType="begin"/>
      </w:r>
      <w:r w:rsidR="000B74B6">
        <w:instrText xml:space="preserve"> REF _Ref_211b0bb0dc9ee6c2961d757a061e2c1e_2 \r \h </w:instrText>
      </w:r>
      <w:r w:rsidR="000B74B6">
        <w:fldChar w:fldCharType="separate"/>
      </w:r>
      <w:r w:rsidR="00D33EA9">
        <w:t>Figuur 26</w:t>
      </w:r>
      <w:r w:rsidR="000B74B6">
        <w:fldChar w:fldCharType="end"/>
      </w:r>
      <w:r w:rsidR="00B70A3F" w:rsidRPr="00CD1BCF">
        <w:t xml:space="preserve"> la</w:t>
      </w:r>
      <w:r w:rsidR="00B70A3F">
        <w:t>a</w:t>
      </w:r>
      <w:r w:rsidR="00B70A3F" w:rsidRPr="00CD1BCF">
        <w:t xml:space="preserve">t schematisch zien hoe het model </w:t>
      </w:r>
      <w:r w:rsidR="00B70A3F">
        <w:t>Regeling</w:t>
      </w:r>
      <w:r w:rsidR="000B74B6">
        <w:t>Tijdelijkdeel</w:t>
      </w:r>
      <w:r w:rsidR="00B70A3F" w:rsidRPr="00CD1BCF">
        <w:t xml:space="preserve"> voor </w:t>
      </w:r>
      <w:r w:rsidR="006A5953">
        <w:t xml:space="preserve">het voorbereidingsbesluit </w:t>
      </w:r>
      <w:r w:rsidR="00B70A3F" w:rsidRPr="00CD1BCF">
        <w:t>er uit ziet (de nummers voor de elementen verwijzen naar de nummering in de vorige paragraaf).</w:t>
      </w:r>
    </w:p>
    <w:p w14:paraId="2B7F7F26" w14:textId="1717407D" w:rsidR="00CF655B" w:rsidRDefault="006A5953" w:rsidP="00BF0A88">
      <w:pPr>
        <w:pStyle w:val="Figuur"/>
      </w:pPr>
      <w:r>
        <w:rPr>
          <w:noProof/>
        </w:rPr>
        <w:lastRenderedPageBreak/>
        <w:drawing>
          <wp:inline distT="0" distB="0" distL="0" distR="0" wp14:anchorId="7211A90A" wp14:editId="06B906EA">
            <wp:extent cx="4226832" cy="5886450"/>
            <wp:effectExtent l="0" t="0" r="2540" b="0"/>
            <wp:docPr id="1415576840" name="Afbeelding 141557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0" name="Afbeelding 1415576840"/>
                    <pic:cNvPicPr/>
                  </pic:nvPicPr>
                  <pic:blipFill>
                    <a:blip r:embed="rId50"/>
                    <a:stretch>
                      <a:fillRect/>
                    </a:stretch>
                  </pic:blipFill>
                  <pic:spPr>
                    <a:xfrm>
                      <a:off x="0" y="0"/>
                      <a:ext cx="4239427" cy="5903990"/>
                    </a:xfrm>
                    <a:prstGeom prst="rect">
                      <a:avLst/>
                    </a:prstGeom>
                  </pic:spPr>
                </pic:pic>
              </a:graphicData>
            </a:graphic>
          </wp:inline>
        </w:drawing>
      </w:r>
    </w:p>
    <w:p w14:paraId="17F7E378" w14:textId="67A6881A" w:rsidR="00BF0A88" w:rsidRPr="00BF0A88" w:rsidRDefault="00B70A3F" w:rsidP="008A1600">
      <w:pPr>
        <w:pStyle w:val="Figuurbijschrift"/>
      </w:pPr>
      <w:bookmarkStart w:id="276" w:name="_Ref_211b0bb0dc9ee6c2961d757a061e2c1e_2"/>
      <w:r w:rsidRPr="00B70A3F">
        <w:t>Overzicht van model Regeling</w:t>
      </w:r>
      <w:r>
        <w:t>Tijdelijkdeel</w:t>
      </w:r>
      <w:bookmarkEnd w:id="276"/>
    </w:p>
    <w:p w14:paraId="47ECCF95" w14:textId="544E82EC" w:rsidR="00713915" w:rsidRDefault="00CF655B" w:rsidP="00713915">
      <w:r w:rsidRPr="00CF655B">
        <w:t xml:space="preserve">In de hierna volgende toelichting </w:t>
      </w:r>
      <w:r w:rsidR="00713915" w:rsidRPr="00AE0435">
        <w:t xml:space="preserve">wordt de nummering van paragraaf </w:t>
      </w:r>
      <w:r w:rsidR="004A6F8E">
        <w:rPr>
          <w:rStyle w:val="Verwijzing"/>
        </w:rPr>
        <w:fldChar w:fldCharType="begin"/>
      </w:r>
      <w:r w:rsidR="004A6F8E">
        <w:instrText xml:space="preserve"> REF _Ref_963b0cf716b44dc7299f991bc0b8299a_1 \n \h </w:instrText>
      </w:r>
      <w:r w:rsidR="004A6F8E">
        <w:rPr>
          <w:rStyle w:val="Verwijzing"/>
        </w:rPr>
      </w:r>
      <w:r w:rsidR="004A6F8E">
        <w:rPr>
          <w:rStyle w:val="Verwijzing"/>
        </w:rPr>
        <w:fldChar w:fldCharType="separate"/>
      </w:r>
      <w:r w:rsidR="00D33EA9">
        <w:t>4.8.3.1</w:t>
      </w:r>
      <w:r w:rsidR="004A6F8E">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62E4617E" w14:textId="77777777" w:rsidR="00713915" w:rsidRDefault="00713915" w:rsidP="00713915"/>
    <w:p w14:paraId="6E7CFADC" w14:textId="3237B19C" w:rsidR="00713915" w:rsidRPr="00467426" w:rsidRDefault="00713915" w:rsidP="004E523D">
      <w:pPr>
        <w:pStyle w:val="Opsommingnummers1"/>
        <w:numPr>
          <w:ilvl w:val="0"/>
          <w:numId w:val="31"/>
        </w:numPr>
      </w:pPr>
      <w:r w:rsidRPr="00D25014">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of de omgevingsverordening. </w:t>
      </w:r>
      <w:r>
        <w:t xml:space="preserve">Het verdient daarom aanbeveling om in het RegelingOpschrift aan te geven waar de voorbeschermingsregels over gaan. </w:t>
      </w:r>
      <w:r w:rsidRPr="00467426">
        <w:t xml:space="preserve">Bijvoorbeeld: </w:t>
      </w:r>
      <w:r>
        <w:t>Voorbeschermingsregels geitenhouderijen</w:t>
      </w:r>
      <w:r w:rsidRPr="00467426">
        <w:t xml:space="preserve">, </w:t>
      </w:r>
      <w:r>
        <w:t>Voorbeschermingsregels hoogspanningsverbinding 380 kV Zuid-West, Voorbeschermingsregels windturbines en provinciale monumenten</w:t>
      </w:r>
      <w:r w:rsidRPr="00467426">
        <w:t>.</w:t>
      </w:r>
      <w:r w:rsidR="004E0CBD">
        <w:t xml:space="preserve"> </w:t>
      </w:r>
      <w:r w:rsidR="00677417">
        <w:t>W</w:t>
      </w:r>
      <w:r w:rsidR="00963E41">
        <w:t xml:space="preserve">elk bestuursorgaan het voorbereidingsbesluit heeft </w:t>
      </w:r>
      <w:r w:rsidR="00963E41">
        <w:lastRenderedPageBreak/>
        <w:t>vastgesteld blijkt al uit de metadata, da</w:t>
      </w:r>
      <w:r w:rsidR="007A79E1">
        <w:t>arom</w:t>
      </w:r>
      <w:r w:rsidR="00963E41">
        <w:t xml:space="preserve"> </w:t>
      </w:r>
      <w:r w:rsidR="007A79E1">
        <w:t xml:space="preserve">wordt aanbevolen om dat </w:t>
      </w:r>
      <w:r w:rsidR="00963E41">
        <w:t xml:space="preserve">niet in het RegelingOpschrift </w:t>
      </w:r>
      <w:r w:rsidR="007A79E1">
        <w:t xml:space="preserve">te </w:t>
      </w:r>
      <w:r w:rsidR="00963E41">
        <w:t>vermelden.</w:t>
      </w:r>
    </w:p>
    <w:p w14:paraId="4BB0ACD4" w14:textId="483918DD" w:rsidR="00713915" w:rsidRPr="00467426" w:rsidRDefault="00713915" w:rsidP="00713915">
      <w:pPr>
        <w:pStyle w:val="Opsommingnummers1"/>
      </w:pPr>
      <w:r w:rsidRPr="00E03DED">
        <w:rPr>
          <w:b/>
          <w:bCs/>
        </w:rPr>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met voorbeschermingsregels. </w:t>
      </w:r>
      <w:r>
        <w:br/>
        <w:t>De Conditie is het element waarin wordt beschreven wat de relatie is tussen het tijdelijk regelingdeel (met daarin de voorbeschermingsregels) en de hoofdregeling</w:t>
      </w:r>
      <w:r w:rsidR="000D1C19">
        <w:t xml:space="preserve"> van omgevingsplan of omgevingsverordening</w:t>
      </w:r>
      <w:r>
        <w:t xml:space="preserve">. </w:t>
      </w:r>
      <w:r w:rsidRPr="00CD406C">
        <w:t xml:space="preserve">Het zal vaak voorkomen dat de voorbeschermingsregels afwijken van de regels in de hoofdregeling. </w:t>
      </w:r>
      <w:r w:rsidR="00CB0AD0">
        <w:t xml:space="preserve">De aanbevolen formulering van het artikel </w:t>
      </w:r>
      <w:r w:rsidR="00CB0AD0" w:rsidRPr="00CB0AD0">
        <w:t xml:space="preserve">in de Conditie </w:t>
      </w:r>
      <w:r w:rsidR="00216819">
        <w:t xml:space="preserve">van een tijdelijk regelingdeel met voorbeschermingsregels voor het omgevingsplan </w:t>
      </w:r>
      <w:r w:rsidR="00CB0AD0">
        <w:t xml:space="preserve">is: </w:t>
      </w:r>
      <w:r w:rsidR="005C0D31">
        <w:t>“</w:t>
      </w:r>
      <w:r w:rsidR="005C0D31" w:rsidRPr="005C0D31">
        <w:t>Voor zover de regels van de hoofdregeling van het omgevingsplan afwijken van deze voorbeschermingsregels gelden alleen de voorbeschermingsregels.</w:t>
      </w:r>
      <w:r w:rsidR="005C0D31">
        <w:t xml:space="preserve">” </w:t>
      </w:r>
      <w:r w:rsidR="00216819">
        <w:t xml:space="preserve">In het geval van een </w:t>
      </w:r>
      <w:r w:rsidR="00D34B81" w:rsidRPr="00D34B81">
        <w:t xml:space="preserve">tijdelijk regelingdeel met voorbeschermingsregels voor </w:t>
      </w:r>
      <w:r w:rsidR="00D34B81">
        <w:t>de omgevingsverordening</w:t>
      </w:r>
      <w:r w:rsidR="00D34B81" w:rsidRPr="00D34B81">
        <w:t xml:space="preserve"> is</w:t>
      </w:r>
      <w:r w:rsidR="00D34B81">
        <w:t xml:space="preserve"> die </w:t>
      </w:r>
      <w:r w:rsidR="00D34B81" w:rsidRPr="00D34B81">
        <w:t xml:space="preserve">aanbevolen formulering: “Voor zover de regels van de hoofdregeling van de omgevingsverordening afwijken van deze voorbeschermingsregels gelden alleen de voorbeschermingsregels.” </w:t>
      </w:r>
      <w:r>
        <w:t xml:space="preserve">STOP vereist dat de beschrijving van de relatie wordt opgenomen in een Artikel binnen het element Conditie. </w:t>
      </w:r>
      <w:r w:rsidR="009D2FEF" w:rsidRPr="009D2FEF">
        <w:t xml:space="preserve">Binnen het element Conditie is slechts 1 Artikel toegestaan. </w:t>
      </w:r>
      <w:r>
        <w:t>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met voorbeschermingsregels. Voor deze Artikelen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w:t>
      </w:r>
      <w:r w:rsidRPr="0016736E">
        <w:t xml:space="preserve">In het geval van </w:t>
      </w:r>
      <w:r>
        <w:t xml:space="preserve">het voorbereidingsbesluit </w:t>
      </w:r>
      <w:r w:rsidRPr="0016736E">
        <w:t>is het verplicht de artikelen in een of meer hoofdstukken te plaatsen.</w:t>
      </w:r>
      <w:r>
        <w:br/>
        <w:t xml:space="preserve">Deze Artikelen </w:t>
      </w:r>
      <w:r w:rsidRPr="005015E6">
        <w:t>word</w:t>
      </w:r>
      <w:r>
        <w:t>en</w:t>
      </w:r>
      <w:r w:rsidRPr="005015E6">
        <w:t xml:space="preserve"> geannoteerd met</w:t>
      </w:r>
      <w:r>
        <w:t xml:space="preserve"> de</w:t>
      </w:r>
      <w:r w:rsidRPr="005015E6">
        <w:t xml:space="preserve"> </w:t>
      </w:r>
      <w:r w:rsidR="00440502">
        <w:t>OW-object</w:t>
      </w:r>
      <w:r w:rsidRPr="005015E6">
        <w:t>en</w:t>
      </w:r>
      <w:r>
        <w:t xml:space="preserve">. Het annoteren met </w:t>
      </w:r>
      <w:r w:rsidR="00440502">
        <w:t>OW-object</w:t>
      </w:r>
      <w:r>
        <w:t xml:space="preserve">en is </w:t>
      </w:r>
      <w:r w:rsidRPr="005015E6">
        <w:t xml:space="preserve">beschreven in hoofdstuk </w:t>
      </w:r>
      <w:r w:rsidR="00DD6B0E">
        <w:rPr>
          <w:rStyle w:val="Verwijzing"/>
        </w:rPr>
        <w:fldChar w:fldCharType="begin"/>
      </w:r>
      <w:r w:rsidR="00DD6B0E">
        <w:instrText xml:space="preserve"> REF _Ref_7108e3382230c01288d3b295401dde3b_1 \n \h </w:instrText>
      </w:r>
      <w:r w:rsidR="00DD6B0E">
        <w:rPr>
          <w:rStyle w:val="Verwijzing"/>
        </w:rPr>
      </w:r>
      <w:r w:rsidR="00DD6B0E">
        <w:rPr>
          <w:rStyle w:val="Verwijzing"/>
        </w:rPr>
        <w:fldChar w:fldCharType="separate"/>
      </w:r>
      <w:r w:rsidR="00D33EA9">
        <w:t>7</w:t>
      </w:r>
      <w:r w:rsidR="00DD6B0E">
        <w:rPr>
          <w:rStyle w:val="Verwijzing"/>
        </w:rPr>
        <w:fldChar w:fldCharType="end"/>
      </w:r>
      <w:r w:rsidRPr="005015E6">
        <w:t>.</w:t>
      </w:r>
      <w:r>
        <w:br/>
        <w:t xml:space="preserve">Een uitgebreide toelichting op het tijdelijk regelingdeel staat in paragraaf </w:t>
      </w:r>
      <w:r w:rsidR="00DA1FB2" w:rsidRPr="00863F41">
        <w:rPr>
          <w:rStyle w:val="Verwijzing"/>
        </w:rPr>
        <w:fldChar w:fldCharType="begin"/>
      </w:r>
      <w:r w:rsidR="00DA1FB2" w:rsidRPr="00863F41">
        <w:rPr>
          <w:rStyle w:val="Verwijzing"/>
        </w:rPr>
        <w:instrText xml:space="preserve"> REF _Ref_4bc5f5e40edbd09619c52d8c059fa328_2 \n \h </w:instrText>
      </w:r>
      <w:r w:rsidR="00DA1FB2" w:rsidRPr="00863F41">
        <w:rPr>
          <w:rStyle w:val="Verwijzing"/>
        </w:rPr>
      </w:r>
      <w:r w:rsidR="00DA1FB2" w:rsidRPr="00863F41">
        <w:rPr>
          <w:rStyle w:val="Verwijzing"/>
        </w:rPr>
        <w:fldChar w:fldCharType="separate"/>
      </w:r>
      <w:r w:rsidR="00D33EA9">
        <w:rPr>
          <w:rStyle w:val="Verwijzing"/>
        </w:rPr>
        <w:t>2.3</w:t>
      </w:r>
      <w:r w:rsidR="00DA1FB2" w:rsidRPr="00863F41">
        <w:rPr>
          <w:rStyle w:val="Verwijzing"/>
        </w:rPr>
        <w:fldChar w:fldCharType="end"/>
      </w:r>
      <w:r>
        <w:t>.</w:t>
      </w:r>
    </w:p>
    <w:p w14:paraId="53E311DD" w14:textId="7C6DCBB2"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DF5B66">
        <w:t xml:space="preserve">integraal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 xml:space="preserve">Bijlagen bij de Regeling worden bekendgemaakt én geconsolideerd. </w:t>
      </w:r>
      <w:r w:rsidR="00DF5B66" w:rsidRPr="00DF5B66">
        <w:t xml:space="preserve">Dat laatste houdt in dat ze met een later wijzigingsbesluit gewijzigd kunnen worden. </w:t>
      </w:r>
      <w:r w:rsidR="00A12B2C" w:rsidRPr="00023FC9">
        <w:t xml:space="preserve">Deze bijlagen zijn dus zowel te vinden </w:t>
      </w:r>
      <w:r w:rsidR="00B9405E" w:rsidRPr="00B9405E">
        <w:t xml:space="preserve">in het publicatieblad van het bevoegd gezag </w:t>
      </w:r>
      <w:r w:rsidR="00A12B2C" w:rsidRPr="00023FC9">
        <w:t>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22402F">
        <w:rPr>
          <w:rStyle w:val="Verwijzing"/>
        </w:rPr>
        <w:fldChar w:fldCharType="begin"/>
      </w:r>
      <w:r w:rsidR="0022402F">
        <w:instrText xml:space="preserve"> REF _Ref_5f10fcabc1e4ab490e7e49d0069cb5d9_1 \n \h </w:instrText>
      </w:r>
      <w:r w:rsidR="0022402F">
        <w:rPr>
          <w:rStyle w:val="Verwijzing"/>
        </w:rPr>
      </w:r>
      <w:r w:rsidR="0022402F">
        <w:rPr>
          <w:rStyle w:val="Verwijzing"/>
        </w:rPr>
        <w:fldChar w:fldCharType="separate"/>
      </w:r>
      <w:r w:rsidR="00D33EA9">
        <w:t>5.3</w:t>
      </w:r>
      <w:r w:rsidR="0022402F">
        <w:rPr>
          <w:rStyle w:val="Verwijzing"/>
        </w:rPr>
        <w:fldChar w:fldCharType="end"/>
      </w:r>
      <w:r w:rsidR="00A12B2C">
        <w:t xml:space="preserve">. Een voorbeeld van een bijlage in STOP-XML is de bijlage met verwijzingen naar de GIO’s. Een ander voorbeeld is de bijlage met begripsbepalingen, in het geval dat </w:t>
      </w:r>
      <w:r w:rsidR="00A12B2C">
        <w:lastRenderedPageBreak/>
        <w:t xml:space="preserve">de begripsbepalingen niet in </w:t>
      </w:r>
      <w:r w:rsidR="00160303">
        <w:t xml:space="preserve">een </w:t>
      </w:r>
      <w:r w:rsidR="00A12B2C">
        <w:t xml:space="preserve">artikel </w:t>
      </w:r>
      <w:r w:rsidR="00160303">
        <w:t xml:space="preserve">in de regeling </w:t>
      </w:r>
      <w:r w:rsidR="00A12B2C">
        <w:t xml:space="preserve">worden geplaatst maar in een bijlage. Het is mogelijk om zo’n bijlage in verschillende onderdelen op te delen. Voor die onderverdeling worden de vrijetekstelementen Divisie (optioneel element) en Divisietekst (verplicht element) gebruikt. </w:t>
      </w:r>
      <w:r w:rsidR="005F38FA">
        <w:br/>
      </w:r>
      <w:r w:rsidR="00A12B2C">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226A81">
        <w:fldChar w:fldCharType="begin"/>
      </w:r>
      <w:r w:rsidR="00226A81">
        <w:instrText xml:space="preserve"> REF _Ref_963b0cf716b44dc7299f991bc0b8299a_1 \n \h </w:instrText>
      </w:r>
      <w:r w:rsidR="00226A81">
        <w:fldChar w:fldCharType="separate"/>
      </w:r>
      <w:r w:rsidR="00D33EA9">
        <w:t>4.8.3.1</w:t>
      </w:r>
      <w:r w:rsidR="00226A81">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22302B" w:rsidRPr="0022302B">
        <w:t xml:space="preserve"> én als de bijlage informatie bevat die daadwerkelijk als (te consolideren) bijlage gezien kan worden</w:t>
      </w:r>
      <w:r w:rsidR="00A12B2C">
        <w:t xml:space="preserve">. </w:t>
      </w:r>
      <w:r w:rsidR="009A4A40" w:rsidRPr="009A4A40">
        <w:t>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F670DB">
        <w:t xml:space="preserve"> </w:t>
      </w:r>
      <w:r w:rsidR="00A12B2C">
        <w:t xml:space="preserve">Een bijlage </w:t>
      </w:r>
      <w:r w:rsidR="00A12B2C" w:rsidRPr="00F87B74">
        <w:t xml:space="preserve">in de vorm van een </w:t>
      </w:r>
      <w:r w:rsidR="00D878C5">
        <w:t>PDF-document</w:t>
      </w:r>
      <w:r w:rsidR="00A12B2C" w:rsidRPr="00F87B74">
        <w:t xml:space="preserve"> moet onveranderlijk zijn</w:t>
      </w:r>
      <w:r w:rsidR="00482933">
        <w:t>.</w:t>
      </w:r>
      <w:r w:rsidR="00A12B2C" w:rsidRPr="00F87B74">
        <w:t xml:space="preserve"> </w:t>
      </w:r>
      <w:r w:rsidR="00482933">
        <w:t>D</w:t>
      </w:r>
      <w:r w:rsidR="00A12B2C" w:rsidRPr="00F87B74">
        <w:t xml:space="preserve">aarom </w:t>
      </w:r>
      <w:r w:rsidR="007D5EE4" w:rsidRPr="007D5EE4">
        <w:t xml:space="preserve">moet het PDF-document </w:t>
      </w:r>
      <w:r w:rsidR="00A12B2C" w:rsidRPr="00F87B74">
        <w:t xml:space="preserve">voldoen aan de eisen van PDF/A-1a of PDF/A-2a en moet </w:t>
      </w:r>
      <w:r w:rsidR="007D5EE4">
        <w:t xml:space="preserve">het </w:t>
      </w:r>
      <w:r w:rsidR="00A12B2C" w:rsidRPr="00F87B74">
        <w:t xml:space="preserve">worden </w:t>
      </w:r>
      <w:r w:rsidR="00A12B2C">
        <w:t xml:space="preserve">gepubliceerd als </w:t>
      </w:r>
      <w:r w:rsidR="00AC2BDC">
        <w:t>informatieobject</w:t>
      </w:r>
      <w:r w:rsidR="00A12B2C">
        <w:t xml:space="preserve">. Een beschrijving van beide publicatiemogelijkheden voor bijlagen staat in paragraaf </w:t>
      </w:r>
      <w:r w:rsidR="00F670DB">
        <w:rPr>
          <w:rStyle w:val="Verwijzing"/>
        </w:rPr>
        <w:fldChar w:fldCharType="begin"/>
      </w:r>
      <w:r w:rsidR="00F670DB">
        <w:instrText xml:space="preserve"> REF _Ref_2f3d0ec57417521a524e74bab778481f_1 \n \h </w:instrText>
      </w:r>
      <w:r w:rsidR="00F670DB">
        <w:rPr>
          <w:rStyle w:val="Verwijzing"/>
        </w:rPr>
      </w:r>
      <w:r w:rsidR="00F670DB">
        <w:rPr>
          <w:rStyle w:val="Verwijzing"/>
        </w:rPr>
        <w:fldChar w:fldCharType="separate"/>
      </w:r>
      <w:r w:rsidR="00D33EA9">
        <w:t>4.2</w:t>
      </w:r>
      <w:r w:rsidR="00F670DB">
        <w:rPr>
          <w:rStyle w:val="Verwijzing"/>
        </w:rPr>
        <w:fldChar w:fldCharType="end"/>
      </w:r>
      <w:r w:rsidR="00A12B2C">
        <w:t xml:space="preserve">. </w:t>
      </w:r>
      <w:r w:rsidR="00DE2BDE">
        <w:br/>
      </w:r>
      <w:r w:rsidR="00DE2BDE" w:rsidRPr="00DE2BDE">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EC7E8A">
        <w:t xml:space="preserve"> Gezien het karakter van het </w:t>
      </w:r>
      <w:r w:rsidR="003F7156">
        <w:t>voorbereidingsbesluit ligt het gebruik van dit element niet voor de hand.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1368A793" w14:textId="11895CF4" w:rsidR="00030D6F" w:rsidRDefault="00713915" w:rsidP="00893AEA">
      <w:pPr>
        <w:pStyle w:val="Opsommingnummers1"/>
      </w:pPr>
      <w:r w:rsidRPr="00575DC4">
        <w:rPr>
          <w:b/>
          <w:bCs/>
        </w:rPr>
        <w:t>Toelichting</w:t>
      </w:r>
      <w:r w:rsidRPr="00B64D21">
        <w:t xml:space="preserve">: </w:t>
      </w:r>
      <w:r w:rsidR="00183C69">
        <w:t xml:space="preserve">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w:t>
      </w:r>
      <w:r w:rsidR="00183C69">
        <w:lastRenderedPageBreak/>
        <w:t xml:space="preserve">anderzijds een vrije, niet nader gestructureerde opzet. Deze mogelijkheden stellen medewerkers van bevoegde gezagen en adviesbureaus die de standaard in hun omgevingsdocumenten toepassen en bouwers van plansoftware voor lastige keuzes. 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AF2705">
        <w:fldChar w:fldCharType="begin"/>
      </w:r>
      <w:r w:rsidR="00AF2705">
        <w:instrText xml:space="preserve"> REF _Ref_b5a681cb10bec3fa600aa1392a86ed42_1 \n \h </w:instrText>
      </w:r>
      <w:r w:rsidR="00AF2705">
        <w:fldChar w:fldCharType="separate"/>
      </w:r>
      <w:r w:rsidR="00D33EA9">
        <w:t>4.8.2.2</w:t>
      </w:r>
      <w:r w:rsidR="00AF2705">
        <w:fldChar w:fldCharType="end"/>
      </w:r>
      <w:r w:rsidR="00183C69">
        <w:t>.</w:t>
      </w:r>
      <w:r w:rsidR="00183C69">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r w:rsidR="00575DC4">
        <w:br/>
      </w:r>
      <w:r w:rsidR="00183C69" w:rsidRPr="00951F48">
        <w:t xml:space="preserve">Let op dat de hier besproken algemene toelichting een algemene toelichting geeft op </w:t>
      </w:r>
      <w:r w:rsidR="00183C69">
        <w:t xml:space="preserve">het tijdelijk </w:t>
      </w:r>
      <w:r w:rsidR="00183C69" w:rsidRPr="00951F48">
        <w:t>regeling</w:t>
      </w:r>
      <w:r w:rsidR="00183C69">
        <w:t>deel</w:t>
      </w:r>
      <w:r w:rsidR="00183C69" w:rsidRPr="00951F48">
        <w:t xml:space="preserve"> en niet op een besluit.</w:t>
      </w:r>
      <w:r w:rsidR="00183C69">
        <w:t xml:space="preserve"> </w:t>
      </w:r>
      <w:r w:rsidR="00183C69"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183C69">
        <w:t xml:space="preserve">het tijdelijk </w:t>
      </w:r>
      <w:r w:rsidR="00183C69" w:rsidRPr="00EA5E96">
        <w:t>regeling</w:t>
      </w:r>
      <w:r w:rsidR="00183C69">
        <w:t>deel</w:t>
      </w:r>
      <w:r w:rsidR="00183C69" w:rsidRPr="00EA5E96">
        <w:t xml:space="preserve"> en desgewenst ook op de bijlage(n) die onderdeel zijn van d</w:t>
      </w:r>
      <w:r w:rsidR="00183C69">
        <w:t>i</w:t>
      </w:r>
      <w:r w:rsidR="00183C69" w:rsidRPr="00EA5E96">
        <w:t>e regeling.</w:t>
      </w:r>
      <w:r w:rsidR="00183C69">
        <w:br/>
      </w:r>
      <w:r w:rsidR="00183C69" w:rsidRPr="00292E56">
        <w:t>Een Toelichting kan worden afgesloten met het element Sluiting. Van die mogelijkheid zal naar verwachting niet vaak gebruik gemaakt worden.</w:t>
      </w:r>
      <w:r w:rsidR="00183C69">
        <w:t xml:space="preserve"> Aan een Toelichting kunnen een of meer Bijlagen worden toegevoegd.</w:t>
      </w:r>
      <w:r w:rsidR="00183C69">
        <w:br/>
      </w:r>
      <w:r w:rsidR="00183C69" w:rsidRPr="00B64D21">
        <w:t xml:space="preserve">Een Toelichting bij </w:t>
      </w:r>
      <w:r w:rsidR="00183C69">
        <w:t xml:space="preserve">het tijdelijk regelingdeel </w:t>
      </w:r>
      <w:r w:rsidR="00183C69" w:rsidRPr="00B64D21">
        <w:t>wordt bekendgemaakt én geconsolideerd. Deze toelichting is dus zowel te vinden op officielebekendmakingen.nl als in de regelingenbank op overheid.nl en</w:t>
      </w:r>
      <w:r w:rsidR="00183C69" w:rsidRPr="00C34880">
        <w:t xml:space="preserve"> in DSO-LV.</w:t>
      </w:r>
      <w:r w:rsidR="00183C69">
        <w:t xml:space="preserve"> </w:t>
      </w:r>
      <w:r w:rsidR="00183C69" w:rsidRPr="001B648A">
        <w:t xml:space="preserve">Een Toelichting wordt niet geannoteerd met </w:t>
      </w:r>
      <w:r w:rsidR="00183C69">
        <w:t>OW-object</w:t>
      </w:r>
      <w:r w:rsidR="00183C69" w:rsidRPr="001B648A">
        <w:t>en.</w:t>
      </w:r>
    </w:p>
    <w:p w14:paraId="2F0827EF" w14:textId="22E606D9" w:rsidR="00713915" w:rsidRPr="00467426" w:rsidRDefault="00713915" w:rsidP="00713915">
      <w:pPr>
        <w:pStyle w:val="Opsommingnummers1"/>
      </w:pPr>
      <w:r w:rsidRPr="00467426">
        <w:rPr>
          <w:b/>
          <w:bCs/>
        </w:rPr>
        <w:t>ArtikelgewijzeToelichting</w:t>
      </w:r>
      <w:r>
        <w:t xml:space="preserve">: </w:t>
      </w:r>
      <w:r w:rsidR="004A62AF" w:rsidRPr="004A62AF">
        <w:t>dit ‘hoofdelement</w:t>
      </w:r>
      <w:r w:rsidR="000C0D31">
        <w:t>’</w:t>
      </w:r>
      <w:r w:rsidR="004A62AF" w:rsidRPr="004A62AF">
        <w:t xml:space="preserve"> zal in een toekomstige versie van de standaard vervallen; gebruik daarvan wordt daarom nu afgeraden. 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rsidR="00E31340" w:rsidRPr="00396299">
        <w:t xml:space="preserve">Daarom zijn in de norm in paragraaf </w:t>
      </w:r>
      <w:r w:rsidR="004A62AF">
        <w:fldChar w:fldCharType="begin"/>
      </w:r>
      <w:r w:rsidR="004A62AF">
        <w:instrText xml:space="preserve"> REF _Ref_963b0cf716b44dc7299f991bc0b8299a_1 \n \h </w:instrText>
      </w:r>
      <w:r w:rsidR="004A62AF">
        <w:fldChar w:fldCharType="separate"/>
      </w:r>
      <w:r w:rsidR="00D33EA9">
        <w:t>4.8.3.1</w:t>
      </w:r>
      <w:r w:rsidR="004A62AF">
        <w:fldChar w:fldCharType="end"/>
      </w:r>
      <w:r w:rsidR="00E31340" w:rsidRPr="00396299">
        <w:t xml:space="preserve"> de subelementen van de ArtikelgewijzeToelichting niet opgenomen en wordt er in deze paragraaf geen nadere toelichting op gegeven.</w:t>
      </w:r>
    </w:p>
    <w:p w14:paraId="66F0BA63" w14:textId="77777777" w:rsidR="00713915" w:rsidRDefault="00713915" w:rsidP="00713915"/>
    <w:p w14:paraId="3C2B5B81" w14:textId="24056E0D" w:rsidR="00713915" w:rsidRDefault="00713915" w:rsidP="00713915">
      <w:r w:rsidRPr="000B5C9F">
        <w:t xml:space="preserve">Veel van de hiervoor besproken elementen moeten worden voorzien van een Kop. Voor de Kop zijn de Kopelementen Label, Nummer en Opschrift beschikbaar. Label is de aanduiding </w:t>
      </w:r>
      <w:r w:rsidRPr="000B5C9F">
        <w:lastRenderedPageBreak/>
        <w:t>van het type tekstelement, zoals Hoofdstuk, Paragraaf of Artikel. Opschrift is de titel van het tekstelement, die aangeeft waar de tekst over gaat.</w:t>
      </w:r>
      <w:r>
        <w:t xml:space="preserve"> Voor de Koppen in de artikelen met voorbeschermingsregels in </w:t>
      </w:r>
      <w:r w:rsidRPr="00755F44">
        <w:t xml:space="preserve">het tijdelijk regelingdeel </w:t>
      </w:r>
      <w:r>
        <w:t xml:space="preserve">gelden extra eisen, die zijn beschreven in </w:t>
      </w:r>
      <w:r w:rsidR="0083171F">
        <w:t xml:space="preserve">paragraaf </w:t>
      </w:r>
      <w:r w:rsidR="003E673B">
        <w:fldChar w:fldCharType="begin"/>
      </w:r>
      <w:r w:rsidR="003E673B">
        <w:instrText xml:space="preserve"> REF _Ref_b0095ee7f69776686ffca8053d0f4c86_2 \n \h </w:instrText>
      </w:r>
      <w:r w:rsidR="003E673B">
        <w:fldChar w:fldCharType="separate"/>
      </w:r>
      <w:r w:rsidR="00D33EA9">
        <w:t>5.2.2.1.1</w:t>
      </w:r>
      <w:r w:rsidR="003E673B">
        <w:fldChar w:fldCharType="end"/>
      </w:r>
      <w:r>
        <w:t>.</w:t>
      </w:r>
    </w:p>
    <w:p w14:paraId="66624126" w14:textId="6A88A4C0" w:rsidR="00713915" w:rsidRPr="00865A86" w:rsidRDefault="00713915" w:rsidP="00713915">
      <w:r w:rsidRPr="001813B1">
        <w:t xml:space="preserve">In de schema’s van STOP komt in een aantal hoofd- en subelementen het element InleidendeTekst -bedoeld voor niet-juridische contextinformatie- voor. </w:t>
      </w:r>
      <w:r w:rsidR="001B4349" w:rsidRPr="001B4349">
        <w:t>Dit element zal in een toekomstige versie van de standaard vervallen; gebruik daarvan wordt daarom nu afgeraden.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50"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