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04D9" w14:textId="77777777" w:rsidR="00C7526B" w:rsidRDefault="00C7526B" w:rsidP="00C7526B">
      <w:pPr>
        <w:pStyle w:val="Kop4"/>
      </w:pPr>
      <w:bookmarkStart w:id="354" w:name="_Ref_203cb756ee5f778d36d44cbc1b2c6370_1"/>
      <w:r>
        <w:t>Regeling: RegelingTijdelijkdeel voor wijzigen omgevingsplan</w:t>
      </w:r>
      <w:bookmarkEnd w:id="354"/>
    </w:p>
    <w:p w14:paraId="759C1814" w14:textId="1400E6FD" w:rsidR="000E1401" w:rsidRDefault="000E1401" w:rsidP="00C7526B">
      <w:r w:rsidRPr="000E1401">
        <w:t>In de Regeling van een omgevingsdocument staat welke regels of beleid gelden in de fysieke leefomgeving</w:t>
      </w:r>
      <w:r w:rsidR="00594792" w:rsidRPr="00594792">
        <w:t xml:space="preserve">, dan wel, in het geval van </w:t>
      </w:r>
      <w:r w:rsidR="00594792">
        <w:t xml:space="preserve">het vrijetekstgedeelte van het </w:t>
      </w:r>
      <w:r w:rsidR="00594792" w:rsidRPr="00594792">
        <w:t>projectbesluit, wat er wordt gerealiseerd in de fysieke leefomgeving</w:t>
      </w:r>
      <w:r w:rsidRPr="000E1401">
        <w:t>. De Regeling is te vinden in de regelingenbank op overheid.nl en in DSO-LV.</w:t>
      </w:r>
    </w:p>
    <w:p w14:paraId="2AADC27D" w14:textId="27687B9F" w:rsidR="00C7526B" w:rsidRDefault="00C7526B" w:rsidP="00C7526B">
      <w:r w:rsidRPr="00D05D87">
        <w:t xml:space="preserve">In paragraaf </w:t>
      </w:r>
      <w:r w:rsidR="00E34F56">
        <w:fldChar w:fldCharType="begin"/>
      </w:r>
      <w:r w:rsidR="00E34F56">
        <w:instrText xml:space="preserve"> REF _Ref_374115275a7fc5f6c4970555efd3a0fb_2 \n \h </w:instrText>
      </w:r>
      <w:r w:rsidR="00E34F56">
        <w:fldChar w:fldCharType="separate"/>
      </w:r>
      <w:r w:rsidR="00D33EA9">
        <w:t>4.10.4.1</w:t>
      </w:r>
      <w:r w:rsidR="00E34F56">
        <w:fldChar w:fldCharType="end"/>
      </w:r>
      <w:r w:rsidRPr="00D05D87">
        <w:t xml:space="preserve"> is de norm voor het model </w:t>
      </w:r>
      <w:r>
        <w:t>voor het tijdelijk regelingdeel</w:t>
      </w:r>
      <w:r w:rsidRPr="00D05D87">
        <w:t xml:space="preserve"> </w:t>
      </w:r>
      <w:r>
        <w:t xml:space="preserve">van het projectbesluit </w:t>
      </w:r>
      <w:r w:rsidRPr="00D05D87">
        <w:t xml:space="preserve">vastgelegd: welke elementen moeten respectievelijk mogen worden gebruikt </w:t>
      </w:r>
      <w:r>
        <w:t xml:space="preserve">in een RegelingTijdelijkdeel </w:t>
      </w:r>
      <w:r w:rsidRPr="00D05D87">
        <w:t xml:space="preserve">en hoe vaak kunnen ze voorkomen. Paragraaf </w:t>
      </w:r>
      <w:r w:rsidR="00E34F56">
        <w:fldChar w:fldCharType="begin"/>
      </w:r>
      <w:r w:rsidR="00E34F56">
        <w:instrText xml:space="preserve"> REF _Ref_4be323e0282a3efe607d44ef774aae5f_2 \n \h </w:instrText>
      </w:r>
      <w:r w:rsidR="00E34F56">
        <w:fldChar w:fldCharType="separate"/>
      </w:r>
      <w:r w:rsidR="00D33EA9">
        <w:t>4.10.4.2</w:t>
      </w:r>
      <w:r w:rsidR="00E34F56">
        <w:fldChar w:fldCharType="end"/>
      </w:r>
      <w:r w:rsidRPr="00D05D87">
        <w:t xml:space="preserve"> geeft een uitgebreide toelichting op de elementen van d</w:t>
      </w:r>
      <w:r>
        <w:t>e</w:t>
      </w:r>
      <w:r w:rsidRPr="00D05D87">
        <w:t xml:space="preserve"> </w:t>
      </w:r>
      <w:r>
        <w:t>Regeling</w:t>
      </w:r>
      <w:r w:rsidR="001F0DEB" w:rsidRPr="001F0DEB">
        <w:t>, waaronder ook tips over het al dan niet gebruikelijk zijn van een bepaald element</w:t>
      </w:r>
      <w:r w:rsidRPr="00D05D87">
        <w:t xml:space="preserve">. In paragraaf </w:t>
      </w:r>
      <w:r w:rsidR="00E34F56">
        <w:fldChar w:fldCharType="begin"/>
      </w:r>
      <w:r w:rsidR="00E34F56">
        <w:instrText xml:space="preserve"> REF _Ref_b0c7eb2e339bfe0e9da6660c290e80f8_1 \n \h </w:instrText>
      </w:r>
      <w:r w:rsidR="00E34F56">
        <w:fldChar w:fldCharType="separate"/>
      </w:r>
      <w:r w:rsidR="00D33EA9">
        <w:t>4.10.4.3</w:t>
      </w:r>
      <w:r w:rsidR="00E34F56">
        <w:fldChar w:fldCharType="end"/>
      </w:r>
      <w:r>
        <w:t xml:space="preserve"> </w:t>
      </w:r>
      <w:r w:rsidRPr="00D05D87">
        <w:t>worden norm en toelichting concreet gemaakt met een voorbeeld.</w:t>
      </w:r>
    </w:p>
    <w:p w14:paraId="670AFE17" w14:textId="2FFD75D6" w:rsidR="00C7526B" w:rsidRDefault="00C7526B" w:rsidP="00C7526B">
      <w:r w:rsidRPr="007F3EDF">
        <w:t>Opgemerkt wordt dat de modellen voor Besluit en Regeling XML-modellen zijn. Met de in de volgende paragrafen genoemde elementen worden dus (STOP-)XML-elementen bedoeld.</w:t>
      </w:r>
    </w:p>
    <w:p w14:paraId="2BC2998A" w14:textId="77777777" w:rsidR="00C7526B" w:rsidRDefault="00C7526B" w:rsidP="00C7526B">
      <w:r w:rsidRPr="00333EB7">
        <w:t xml:space="preserve">Omwille van de leesbaarheid en herkenbaarheid zijn de namen van de ‘hoofdelementen’ vetgedrukt en die van de ‘subelementen’ schuingedrukt. De ‘hoofdelementen’ zijn </w:t>
      </w:r>
      <w:r w:rsidRPr="00333EB7">
        <w:lastRenderedPageBreak/>
        <w:t>genummerd om er in de toelichting en het voorbeeld in de volgende paragrafen naar te kunnen verwijzen.</w:t>
      </w:r>
    </w:p>
    <w:p w14:paraId="63890D29" w14:textId="77777777" w:rsidR="00C7526B" w:rsidRDefault="00C7526B" w:rsidP="00C7526B"/>
    <w:p w14:paraId="1BCAC96B" w14:textId="77777777" w:rsidR="00C7526B" w:rsidRDefault="00C7526B" w:rsidP="00C7526B">
      <w:r>
        <w:t xml:space="preserve">Vooralsnog </w:t>
      </w:r>
      <w:r w:rsidRPr="0001568B">
        <w:t xml:space="preserve">ondersteunen </w:t>
      </w:r>
      <w:r>
        <w:t>d</w:t>
      </w:r>
      <w:r w:rsidRPr="00FD4B71">
        <w:t xml:space="preserve">e STOP/TPOD-standaard en de DSO-keten </w:t>
      </w:r>
      <w:r>
        <w:t xml:space="preserve">de </w:t>
      </w:r>
      <w:r w:rsidRPr="00FD4B71">
        <w:t>ontwerpversie van het tijdelijk regelingdeel</w:t>
      </w:r>
      <w:r>
        <w:t xml:space="preserve"> nog niet</w:t>
      </w:r>
      <w:r w:rsidRPr="00FD4B71">
        <w:t xml:space="preserve">. </w:t>
      </w:r>
      <w:r>
        <w:t xml:space="preserve">Zolang dat het geval is, </w:t>
      </w:r>
      <w:r w:rsidRPr="00FD4B71">
        <w:t>moeten daarom in een ontwerpversie van een projectbesluit dat beoogt een of meer omgevingsplannen te wijzigen, de wijzigingen die het projectbesluit in die omgevingsplannen aanbrengt, in het vrijetekstgedeelte worden beschreven.</w:t>
      </w:r>
      <w:r>
        <w:t xml:space="preserve"> Om die tekst te kunnen koppelen aan locaties, waarmee wordt aangegeven waar de wijziging(en) van het omgevingsplan gaan gelden, moet die tekst worden opgenomen in het Lichaam van de Regeling.</w:t>
      </w:r>
    </w:p>
    <w:p w14:paraId="4D9DDA73" w14:textId="77777777" w:rsidR="00C7526B" w:rsidRDefault="00C7526B" w:rsidP="00C7526B">
      <w:pPr>
        <w:pStyle w:val="Kader"/>
      </w:pPr>
      <w:r w:rsidRPr="00B26823">
        <w:rPr>
          <w:noProof/>
        </w:rPr>
        <mc:AlternateContent>
          <mc:Choice Requires="wps">
            <w:drawing>
              <wp:inline distT="0" distB="0" distL="0" distR="0" wp14:anchorId="667ECEF6" wp14:editId="29D69C7E">
                <wp:extent cx="5400040" cy="985631"/>
                <wp:effectExtent l="0" t="0" r="22860" b="22860"/>
                <wp:docPr id="953394627" name="Tekstvak 95339462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BCAA494" w14:textId="77777777" w:rsidR="00C7526B" w:rsidRPr="009A08A2" w:rsidRDefault="00C7526B" w:rsidP="00C7526B">
                            <w:pPr>
                              <w:rPr>
                                <w:b/>
                                <w:bCs/>
                              </w:rPr>
                            </w:pPr>
                            <w:r w:rsidRPr="009A08A2">
                              <w:rPr>
                                <w:b/>
                                <w:bCs/>
                              </w:rPr>
                              <w:t>Toekomstige functionaliteit</w:t>
                            </w:r>
                          </w:p>
                          <w:p w14:paraId="78188B0B" w14:textId="77777777" w:rsidR="00C7526B" w:rsidRDefault="00C7526B" w:rsidP="00C7526B">
                            <w:r w:rsidRPr="00C352EA">
                              <w:t xml:space="preserve">In </w:t>
                            </w:r>
                            <w:r>
                              <w:t xml:space="preserve">de toekomst zal </w:t>
                            </w:r>
                            <w:r w:rsidRPr="00FC2B12">
                              <w:t xml:space="preserve">de DSO-keten </w:t>
                            </w:r>
                            <w:r>
                              <w:t xml:space="preserve">de </w:t>
                            </w:r>
                            <w:r w:rsidRPr="00FC2B12">
                              <w:t xml:space="preserve">ontwerpversie van het tijdelijk regelingdeel </w:t>
                            </w:r>
                            <w:r>
                              <w:t xml:space="preserve">waarmee een projectbesluit het omgevingsplan wijzigt, ondersteunen. In een toekomstige versie beschrijft </w:t>
                            </w:r>
                            <w:r w:rsidRPr="00B3240A">
                              <w:t>de STOP</w:t>
                            </w:r>
                            <w:r>
                              <w:t>/</w:t>
                            </w:r>
                            <w:r w:rsidRPr="00B3240A">
                              <w:t xml:space="preserve">TPOD-standaard </w:t>
                            </w:r>
                            <w:r>
                              <w:t>hoe dat gaat werken, hoe het er uitziet en wat het bevoegd gezag daarvoor moet doen.</w:t>
                            </w:r>
                          </w:p>
                          <w:p w14:paraId="05C0DAB6" w14:textId="77777777" w:rsidR="00901959" w:rsidRDefault="00901959" w:rsidP="00C7526B"/>
                          <w:p w14:paraId="0ED75924" w14:textId="17FF732B" w:rsidR="00901959" w:rsidRPr="00795511" w:rsidRDefault="00901959" w:rsidP="00C7526B">
                            <w:pPr>
                              <w:rPr>
                                <w:b/>
                                <w:bCs/>
                              </w:rPr>
                            </w:pPr>
                            <w:r w:rsidRPr="00795511">
                              <w:rPr>
                                <w:b/>
                                <w:bCs/>
                              </w:rPr>
                              <w:t>Workaround</w:t>
                            </w:r>
                          </w:p>
                          <w:p w14:paraId="38B69CCB" w14:textId="31D89B6F" w:rsidR="00901959" w:rsidRPr="00C352EA" w:rsidRDefault="00EF534E" w:rsidP="00C7526B">
                            <w:r w:rsidRPr="00EF534E">
                              <w:t>Zolang de ontwerpversie van het tijdelijk regelingdeel niet in de STOP/TPOD-standaard is gemodelleerd en beschreven en niet in de DSO-keten is geïmplementeerd,</w:t>
                            </w:r>
                            <w:r w:rsidR="00A457C0">
                              <w:t xml:space="preserve"> worden </w:t>
                            </w:r>
                            <w:r w:rsidR="00A457C0" w:rsidRPr="00A457C0">
                              <w:t xml:space="preserve">de wijzigingen die het projectbesluit in die omgevingsplannen aanbrengt, in het vrijetekstgedeelte </w:t>
                            </w:r>
                            <w:r w:rsidR="00A457C0">
                              <w:t xml:space="preserve">van het projectbesluit </w:t>
                            </w:r>
                            <w:r w:rsidR="00A457C0" w:rsidRPr="00A457C0">
                              <w:t>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67ECEF6" id="Tekstvak 953394627" o:spid="_x0000_s102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a3LwIAAFk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n43UBwIBgfHCfFWrmoK/yg8vghHI0Ht0ZjjMx2lBqoJThJnFbhff7sP/sQUWTlracRy&#10;bmgHONM/DDF4NxwHzDAq48nXESnu2rK5tphdswRqc0jrZGUUgz/qXiwdNO+0C4uQk0zCSMqcc+zF&#10;JR7HnnZJqsUiOtEMWoGPZm1lCN2D+tq9C2dPZCHR/AT9KIrsA2dH3/DS28UOiblIaED5iOkJfJrf&#10;yM1p18KCXOvR6/JHmP8G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sLFa3LwIAAFkEAAAOAAAAAAAAAAAAAAAAAC4CAABkcnMv&#10;ZTJvRG9jLnhtbFBLAQItABQABgAIAAAAIQAt+CFs2gAAAAUBAAAPAAAAAAAAAAAAAAAAAIkEAABk&#10;cnMvZG93bnJldi54bWxQSwUGAAAAAAQABADzAAAAkAUAAAAA&#10;" filled="f" strokeweight=".5pt">
                <v:textbox style="mso-fit-shape-to-text:t">
                  <w:txbxContent>
                    <w:p w14:paraId="0BCAA494" w14:textId="77777777" w:rsidR="00C7526B" w:rsidRPr="009A08A2" w:rsidRDefault="00C7526B" w:rsidP="00C7526B">
                      <w:pPr>
                        <w:rPr>
                          <w:b/>
                          <w:bCs/>
                        </w:rPr>
                      </w:pPr>
                      <w:r w:rsidRPr="009A08A2">
                        <w:rPr>
                          <w:b/>
                          <w:bCs/>
                        </w:rPr>
                        <w:t>Toekomstige functionaliteit</w:t>
                      </w:r>
                    </w:p>
                    <w:p w14:paraId="78188B0B" w14:textId="77777777" w:rsidR="00C7526B" w:rsidRDefault="00C7526B" w:rsidP="00C7526B">
                      <w:r w:rsidRPr="00C352EA">
                        <w:t xml:space="preserve">In </w:t>
                      </w:r>
                      <w:r>
                        <w:t xml:space="preserve">de toekomst zal </w:t>
                      </w:r>
                      <w:r w:rsidRPr="00FC2B12">
                        <w:t xml:space="preserve">de DSO-keten </w:t>
                      </w:r>
                      <w:r>
                        <w:t xml:space="preserve">de </w:t>
                      </w:r>
                      <w:r w:rsidRPr="00FC2B12">
                        <w:t xml:space="preserve">ontwerpversie van het tijdelijk regelingdeel </w:t>
                      </w:r>
                      <w:r>
                        <w:t xml:space="preserve">waarmee een projectbesluit het omgevingsplan wijzigt, ondersteunen. In een toekomstige versie beschrijft </w:t>
                      </w:r>
                      <w:r w:rsidRPr="00B3240A">
                        <w:t>de STOP</w:t>
                      </w:r>
                      <w:r>
                        <w:t>/</w:t>
                      </w:r>
                      <w:r w:rsidRPr="00B3240A">
                        <w:t xml:space="preserve">TPOD-standaard </w:t>
                      </w:r>
                      <w:r>
                        <w:t>hoe dat gaat werken, hoe het er uitziet en wat het bevoegd gezag daarvoor moet doen.</w:t>
                      </w:r>
                    </w:p>
                    <w:p w14:paraId="05C0DAB6" w14:textId="77777777" w:rsidR="00901959" w:rsidRDefault="00901959" w:rsidP="00C7526B"/>
                    <w:p w14:paraId="0ED75924" w14:textId="17FF732B" w:rsidR="00901959" w:rsidRPr="00795511" w:rsidRDefault="00901959" w:rsidP="00C7526B">
                      <w:pPr>
                        <w:rPr>
                          <w:b/>
                          <w:bCs/>
                        </w:rPr>
                      </w:pPr>
                      <w:r w:rsidRPr="00795511">
                        <w:rPr>
                          <w:b/>
                          <w:bCs/>
                        </w:rPr>
                        <w:t>Workaround</w:t>
                      </w:r>
                    </w:p>
                    <w:p w14:paraId="38B69CCB" w14:textId="31D89B6F" w:rsidR="00901959" w:rsidRPr="00C352EA" w:rsidRDefault="00EF534E" w:rsidP="00C7526B">
                      <w:r w:rsidRPr="00EF534E">
                        <w:t>Zolang de ontwerpversie van het tijdelijk regelingdeel niet in de STOP/TPOD-standaard is gemodelleerd en beschreven en niet in de DSO-keten is geïmplementeerd,</w:t>
                      </w:r>
                      <w:r w:rsidR="00A457C0">
                        <w:t xml:space="preserve"> worden </w:t>
                      </w:r>
                      <w:r w:rsidR="00A457C0" w:rsidRPr="00A457C0">
                        <w:t xml:space="preserve">de wijzigingen die het projectbesluit in die omgevingsplannen aanbrengt, in het vrijetekstgedeelte </w:t>
                      </w:r>
                      <w:r w:rsidR="00A457C0">
                        <w:t xml:space="preserve">van het projectbesluit </w:t>
                      </w:r>
                      <w:r w:rsidR="00A457C0" w:rsidRPr="00A457C0">
                        <w:t>beschreven.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