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439" w:name="_Ref_0789184bfc8c0a453aa950d4719a62bb_1"/>
      <w:r w:rsidRPr="000A4B5B">
        <w:t>Tekst</w:t>
      </w:r>
      <w:bookmarkEnd w:id="439"/>
    </w:p>
    <w:p w14:paraId="5EED452B" w14:textId="6917EC23"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2D10A5">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3D508F42"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_Ref_4964267426a46cbb7adc0b1f06ddb4d6_1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2D10A5">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_Ref_3de2cb467e7ff80b900d008b700994fc_1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2D10A5">
        <w:rPr>
          <w:rStyle w:val="Verwijzing"/>
        </w:rPr>
        <w:t>6.1.1.2</w:t>
      </w:r>
      <w:r w:rsidR="0057466C"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